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21427" w14:textId="77777777" w:rsidR="00EE71DC" w:rsidRDefault="00EE71DC" w:rsidP="00EE71DC">
      <w:pPr>
        <w:ind w:left="-720" w:right="-720"/>
        <w:jc w:val="both"/>
        <w:rPr>
          <w:color w:val="000000"/>
          <w:sz w:val="20"/>
          <w:lang w:val="en-GB"/>
        </w:rPr>
      </w:pPr>
    </w:p>
    <w:p w14:paraId="0CF3BC6E" w14:textId="77777777" w:rsidR="002A64B8" w:rsidRDefault="002A64B8" w:rsidP="00AA30C2">
      <w:pPr>
        <w:pStyle w:val="BodyText2"/>
        <w:jc w:val="center"/>
        <w:rPr>
          <w:b/>
          <w:sz w:val="20"/>
        </w:rPr>
      </w:pPr>
    </w:p>
    <w:p w14:paraId="2DBC2841" w14:textId="77777777" w:rsidR="002A64B8" w:rsidRDefault="002A64B8" w:rsidP="00AA30C2">
      <w:pPr>
        <w:pStyle w:val="BodyText2"/>
        <w:jc w:val="center"/>
        <w:rPr>
          <w:b/>
          <w:sz w:val="20"/>
        </w:rPr>
      </w:pPr>
    </w:p>
    <w:p w14:paraId="7415186F" w14:textId="77777777" w:rsidR="002A64B8" w:rsidRDefault="002A64B8" w:rsidP="00AA30C2">
      <w:pPr>
        <w:pStyle w:val="BodyText2"/>
        <w:jc w:val="center"/>
        <w:rPr>
          <w:b/>
          <w:sz w:val="20"/>
        </w:rPr>
      </w:pPr>
    </w:p>
    <w:p w14:paraId="50004B33" w14:textId="26610BF9" w:rsidR="00AA30C2" w:rsidRPr="004C5D9A" w:rsidRDefault="00AA30C2" w:rsidP="00AA30C2">
      <w:pPr>
        <w:pStyle w:val="BodyText2"/>
        <w:jc w:val="center"/>
        <w:rPr>
          <w:b/>
          <w:sz w:val="20"/>
        </w:rPr>
      </w:pPr>
      <w:r w:rsidRPr="004C5D9A">
        <w:rPr>
          <w:b/>
          <w:sz w:val="20"/>
        </w:rPr>
        <w:t>CELSIUS FIRST RETIREMENT BENEFITS SCHEME</w:t>
      </w:r>
    </w:p>
    <w:p w14:paraId="3651C53C" w14:textId="77777777" w:rsidR="00AA30C2" w:rsidRPr="004C5D9A" w:rsidRDefault="00AA30C2" w:rsidP="00AA30C2">
      <w:pPr>
        <w:tabs>
          <w:tab w:val="center" w:pos="5233"/>
          <w:tab w:val="right" w:pos="6048"/>
          <w:tab w:val="right" w:pos="7488"/>
          <w:tab w:val="right" w:pos="8640"/>
          <w:tab w:val="right" w:pos="10080"/>
        </w:tabs>
        <w:jc w:val="center"/>
        <w:rPr>
          <w:b/>
          <w:color w:val="000000"/>
          <w:sz w:val="20"/>
          <w:lang w:val="en-GB"/>
        </w:rPr>
      </w:pPr>
    </w:p>
    <w:p w14:paraId="7A08633D" w14:textId="378CC76D" w:rsidR="00AA30C2" w:rsidRPr="004C5D9A" w:rsidRDefault="00AA30C2" w:rsidP="00AA30C2">
      <w:pPr>
        <w:tabs>
          <w:tab w:val="center" w:pos="5233"/>
          <w:tab w:val="right" w:pos="6048"/>
          <w:tab w:val="right" w:pos="7488"/>
          <w:tab w:val="right" w:pos="8640"/>
          <w:tab w:val="right" w:pos="10080"/>
        </w:tabs>
        <w:jc w:val="center"/>
        <w:rPr>
          <w:b/>
          <w:color w:val="000000"/>
          <w:sz w:val="20"/>
          <w:lang w:val="en-GB"/>
        </w:rPr>
      </w:pPr>
      <w:r w:rsidRPr="004C5D9A">
        <w:rPr>
          <w:b/>
          <w:color w:val="000000"/>
          <w:sz w:val="20"/>
          <w:lang w:val="en-GB"/>
        </w:rPr>
        <w:t>TRUSTEES' REPORT</w:t>
      </w:r>
    </w:p>
    <w:p w14:paraId="2ED41033" w14:textId="77777777" w:rsidR="00AA30C2" w:rsidRPr="004C5D9A" w:rsidRDefault="00AA30C2" w:rsidP="00AA30C2">
      <w:pPr>
        <w:tabs>
          <w:tab w:val="center" w:pos="5233"/>
          <w:tab w:val="right" w:pos="6048"/>
          <w:tab w:val="right" w:pos="7488"/>
          <w:tab w:val="right" w:pos="8640"/>
          <w:tab w:val="right" w:pos="10080"/>
        </w:tabs>
        <w:jc w:val="center"/>
        <w:rPr>
          <w:b/>
          <w:color w:val="000000"/>
          <w:sz w:val="20"/>
          <w:lang w:val="en-GB"/>
        </w:rPr>
      </w:pPr>
      <w:r w:rsidRPr="004C5D9A">
        <w:rPr>
          <w:b/>
          <w:color w:val="000000"/>
          <w:sz w:val="20"/>
          <w:lang w:val="en-GB"/>
        </w:rPr>
        <w:t>30 SEPTEMBER 2020</w:t>
      </w:r>
    </w:p>
    <w:p w14:paraId="187E43E1" w14:textId="77777777" w:rsidR="00AA30C2" w:rsidRDefault="00AA30C2" w:rsidP="00AA30C2">
      <w:pPr>
        <w:rPr>
          <w:sz w:val="20"/>
        </w:rPr>
      </w:pPr>
    </w:p>
    <w:p w14:paraId="10EE022E" w14:textId="77777777" w:rsidR="00EE71DC" w:rsidRDefault="00EE71DC" w:rsidP="00EE71DC">
      <w:pPr>
        <w:tabs>
          <w:tab w:val="left" w:pos="-720"/>
          <w:tab w:val="left" w:pos="0"/>
          <w:tab w:val="left" w:pos="4262"/>
          <w:tab w:val="left" w:pos="5727"/>
          <w:tab w:val="right" w:pos="6420"/>
          <w:tab w:val="right" w:pos="7848"/>
          <w:tab w:val="right" w:pos="9133"/>
        </w:tabs>
        <w:jc w:val="both"/>
        <w:rPr>
          <w:color w:val="000000"/>
          <w:sz w:val="20"/>
          <w:lang w:val="en-GB"/>
        </w:rPr>
      </w:pPr>
    </w:p>
    <w:p w14:paraId="3EC82607" w14:textId="7097BC04" w:rsidR="00EE71DC" w:rsidRDefault="00EE71DC" w:rsidP="00EE71DC">
      <w:pPr>
        <w:tabs>
          <w:tab w:val="left" w:pos="-720"/>
          <w:tab w:val="left" w:pos="0"/>
          <w:tab w:val="left" w:pos="2160"/>
          <w:tab w:val="right" w:pos="3187"/>
          <w:tab w:val="right" w:pos="4581"/>
          <w:tab w:val="right" w:pos="6048"/>
          <w:tab w:val="right" w:pos="7488"/>
          <w:tab w:val="right" w:pos="8640"/>
          <w:tab w:val="right" w:pos="10080"/>
        </w:tabs>
        <w:spacing w:after="180"/>
        <w:jc w:val="both"/>
        <w:rPr>
          <w:b/>
          <w:color w:val="000000"/>
          <w:sz w:val="20"/>
        </w:rPr>
      </w:pPr>
      <w:r w:rsidRPr="00756872">
        <w:rPr>
          <w:b/>
          <w:color w:val="000000"/>
          <w:sz w:val="20"/>
        </w:rPr>
        <w:t>INVESTMENT REPORT</w:t>
      </w:r>
    </w:p>
    <w:p w14:paraId="0814E0B7" w14:textId="19B90F60" w:rsidR="006B44A5" w:rsidRPr="00756872" w:rsidRDefault="004722F2" w:rsidP="00543667">
      <w:pPr>
        <w:tabs>
          <w:tab w:val="left" w:pos="-720"/>
          <w:tab w:val="left" w:pos="0"/>
          <w:tab w:val="left" w:pos="2160"/>
          <w:tab w:val="right" w:pos="3187"/>
          <w:tab w:val="right" w:pos="4581"/>
          <w:tab w:val="right" w:pos="6048"/>
          <w:tab w:val="right" w:pos="7488"/>
          <w:tab w:val="right" w:pos="8640"/>
          <w:tab w:val="right" w:pos="10080"/>
        </w:tabs>
        <w:spacing w:after="180"/>
        <w:jc w:val="both"/>
        <w:rPr>
          <w:b/>
          <w:color w:val="000000"/>
          <w:sz w:val="20"/>
          <w:lang w:val="en-GB"/>
        </w:rPr>
      </w:pPr>
      <w:r w:rsidRPr="00973F42">
        <w:rPr>
          <w:b/>
          <w:color w:val="000000"/>
          <w:sz w:val="20"/>
        </w:rPr>
        <w:t>Implementation Statement</w:t>
      </w:r>
    </w:p>
    <w:p w14:paraId="2BC94EC1" w14:textId="79CD3463" w:rsidR="00926ADB" w:rsidRPr="00973F42" w:rsidRDefault="00EE71DC" w:rsidP="003A2261">
      <w:pPr>
        <w:spacing w:after="120"/>
        <w:jc w:val="both"/>
        <w:textAlignment w:val="baseline"/>
        <w:rPr>
          <w:rFonts w:eastAsia="Arial Narrow"/>
          <w:bCs/>
          <w:color w:val="0A090E"/>
          <w:spacing w:val="5"/>
          <w:sz w:val="20"/>
        </w:rPr>
      </w:pPr>
      <w:r>
        <w:rPr>
          <w:color w:val="000000"/>
          <w:sz w:val="20"/>
          <w:lang w:val="en-GB"/>
        </w:rPr>
        <w:t>The overall investment policy of the Scheme is determined in consultation with the Scheme’s investment advisor and the Scheme’s investment managers</w:t>
      </w:r>
      <w:r w:rsidRPr="00973F42">
        <w:rPr>
          <w:color w:val="000000"/>
          <w:sz w:val="20"/>
          <w:lang w:val="en-GB"/>
        </w:rPr>
        <w:t xml:space="preserve">. </w:t>
      </w:r>
      <w:r w:rsidR="002A6A68" w:rsidRPr="00973F42">
        <w:rPr>
          <w:color w:val="000000"/>
          <w:sz w:val="20"/>
          <w:lang w:val="en-GB"/>
        </w:rPr>
        <w:t xml:space="preserve">The Trustees formulate an investment strategy </w:t>
      </w:r>
      <w:r w:rsidR="005E2C20" w:rsidRPr="00973F42">
        <w:rPr>
          <w:color w:val="000000"/>
          <w:sz w:val="20"/>
          <w:lang w:val="en-GB"/>
        </w:rPr>
        <w:t xml:space="preserve">and delegate the responsibility of executing all investment </w:t>
      </w:r>
      <w:r w:rsidR="00AC47E2" w:rsidRPr="00973F42">
        <w:rPr>
          <w:color w:val="000000"/>
          <w:sz w:val="20"/>
          <w:lang w:val="en-GB"/>
        </w:rPr>
        <w:t xml:space="preserve">transactions to their investment managers. </w:t>
      </w:r>
      <w:r w:rsidR="00475ECA" w:rsidRPr="00973F42">
        <w:rPr>
          <w:color w:val="000000"/>
          <w:sz w:val="20"/>
          <w:lang w:val="en-GB"/>
        </w:rPr>
        <w:t xml:space="preserve">The Trustees </w:t>
      </w:r>
      <w:r w:rsidR="008C01F0" w:rsidRPr="00973F42">
        <w:rPr>
          <w:color w:val="000000"/>
          <w:sz w:val="20"/>
          <w:lang w:val="en-GB"/>
        </w:rPr>
        <w:t xml:space="preserve">set out their investment policy in </w:t>
      </w:r>
      <w:r w:rsidR="00926ADB" w:rsidRPr="00973F42">
        <w:rPr>
          <w:color w:val="000000"/>
          <w:sz w:val="20"/>
          <w:lang w:val="en-GB"/>
        </w:rPr>
        <w:t xml:space="preserve">a </w:t>
      </w:r>
      <w:r w:rsidR="00926ADB" w:rsidRPr="00973F42">
        <w:rPr>
          <w:rFonts w:eastAsia="Arial Narrow"/>
          <w:bCs/>
          <w:color w:val="0A090E"/>
          <w:spacing w:val="5"/>
          <w:sz w:val="20"/>
        </w:rPr>
        <w:t>Statement of Investment Principles</w:t>
      </w:r>
      <w:r w:rsidR="00061524" w:rsidRPr="00973F42">
        <w:rPr>
          <w:rFonts w:eastAsia="Arial Narrow"/>
          <w:bCs/>
          <w:color w:val="0A090E"/>
          <w:spacing w:val="5"/>
          <w:sz w:val="20"/>
        </w:rPr>
        <w:t>.</w:t>
      </w:r>
    </w:p>
    <w:p w14:paraId="73CAA28F" w14:textId="6157FC3E" w:rsidR="00522FAB" w:rsidRPr="00973F42" w:rsidRDefault="0014037D" w:rsidP="003A2261">
      <w:pPr>
        <w:spacing w:after="120"/>
        <w:jc w:val="both"/>
        <w:textAlignment w:val="baseline"/>
        <w:rPr>
          <w:color w:val="000000"/>
          <w:sz w:val="20"/>
          <w:lang w:val="en-GB"/>
        </w:rPr>
      </w:pPr>
      <w:r w:rsidRPr="00973F42">
        <w:rPr>
          <w:rFonts w:eastAsia="Arial Narrow"/>
          <w:bCs/>
          <w:color w:val="0A090E"/>
          <w:spacing w:val="5"/>
          <w:sz w:val="20"/>
        </w:rPr>
        <w:t xml:space="preserve">The </w:t>
      </w:r>
      <w:r w:rsidR="00126EC3" w:rsidRPr="00973F42">
        <w:rPr>
          <w:rFonts w:eastAsia="Arial Narrow"/>
          <w:bCs/>
          <w:color w:val="0A090E"/>
          <w:spacing w:val="5"/>
          <w:sz w:val="20"/>
        </w:rPr>
        <w:t>Statement of Investment Principles</w:t>
      </w:r>
      <w:r w:rsidR="00522FAB" w:rsidRPr="00973F42">
        <w:rPr>
          <w:rFonts w:eastAsia="Arial Narrow"/>
          <w:bCs/>
          <w:color w:val="0A090E"/>
          <w:spacing w:val="5"/>
          <w:sz w:val="20"/>
        </w:rPr>
        <w:t xml:space="preserve"> </w:t>
      </w:r>
      <w:r w:rsidR="00727B34" w:rsidRPr="00973F42">
        <w:rPr>
          <w:rFonts w:eastAsia="Arial Narrow"/>
          <w:bCs/>
          <w:color w:val="0A090E"/>
          <w:spacing w:val="5"/>
          <w:sz w:val="20"/>
        </w:rPr>
        <w:t>is</w:t>
      </w:r>
      <w:r w:rsidR="00522FAB" w:rsidRPr="00973F42">
        <w:rPr>
          <w:rFonts w:eastAsia="Arial Narrow"/>
          <w:bCs/>
          <w:color w:val="0A090E"/>
          <w:spacing w:val="5"/>
          <w:sz w:val="20"/>
        </w:rPr>
        <w:t xml:space="preserve"> produced in accordance with Section 35 of the Pensions Act 1995 and subsequent legislation. </w:t>
      </w:r>
      <w:r w:rsidR="00522FAB" w:rsidRPr="00973F42">
        <w:rPr>
          <w:sz w:val="20"/>
        </w:rPr>
        <w:t xml:space="preserve">A copy of the latest Statement of Investment Principles dated XXXXXXX and detailing the Trustees’ considerations in respect of Social, Environmental and Ethically Responsible Investment is available to members on request from the Trustees at the address shown below. </w:t>
      </w:r>
      <w:r w:rsidR="00522FAB" w:rsidRPr="00973F42">
        <w:rPr>
          <w:color w:val="000000"/>
          <w:sz w:val="20"/>
          <w:lang w:val="en-GB"/>
        </w:rPr>
        <w:t>The Statement sets out the Trustees’ policy concerning:</w:t>
      </w:r>
    </w:p>
    <w:p w14:paraId="31F58060" w14:textId="4FAFDB14" w:rsidR="009313E2" w:rsidRPr="00973F42" w:rsidRDefault="00752297" w:rsidP="003A2261">
      <w:pPr>
        <w:numPr>
          <w:ilvl w:val="0"/>
          <w:numId w:val="2"/>
        </w:numPr>
        <w:tabs>
          <w:tab w:val="left" w:pos="-720"/>
          <w:tab w:val="left" w:pos="0"/>
          <w:tab w:val="left" w:pos="360"/>
          <w:tab w:val="left" w:pos="2160"/>
          <w:tab w:val="right" w:pos="3187"/>
          <w:tab w:val="right" w:pos="4581"/>
          <w:tab w:val="right" w:pos="6048"/>
          <w:tab w:val="right" w:pos="7488"/>
          <w:tab w:val="right" w:pos="8640"/>
          <w:tab w:val="right" w:pos="10080"/>
        </w:tabs>
        <w:spacing w:after="120"/>
        <w:jc w:val="both"/>
        <w:rPr>
          <w:color w:val="000000"/>
          <w:sz w:val="20"/>
          <w:lang w:val="en-GB"/>
        </w:rPr>
      </w:pPr>
      <w:r w:rsidRPr="00973F42">
        <w:rPr>
          <w:color w:val="000000"/>
          <w:sz w:val="20"/>
          <w:lang w:val="en-GB"/>
        </w:rPr>
        <w:t>the</w:t>
      </w:r>
      <w:r w:rsidR="00D5167A" w:rsidRPr="00973F42">
        <w:rPr>
          <w:color w:val="000000"/>
          <w:sz w:val="20"/>
          <w:lang w:val="en-GB"/>
        </w:rPr>
        <w:t>ir</w:t>
      </w:r>
      <w:r w:rsidRPr="00973F42">
        <w:rPr>
          <w:color w:val="000000"/>
          <w:sz w:val="20"/>
          <w:lang w:val="en-GB"/>
        </w:rPr>
        <w:t xml:space="preserve"> investment objectives</w:t>
      </w:r>
      <w:r w:rsidR="00F945DC" w:rsidRPr="00973F42">
        <w:rPr>
          <w:color w:val="000000"/>
          <w:sz w:val="20"/>
          <w:lang w:val="en-GB"/>
        </w:rPr>
        <w:t>;</w:t>
      </w:r>
    </w:p>
    <w:p w14:paraId="243F022B" w14:textId="4A348B61" w:rsidR="00D5167A" w:rsidRPr="00973F42" w:rsidRDefault="00D5167A" w:rsidP="003A2261">
      <w:pPr>
        <w:numPr>
          <w:ilvl w:val="0"/>
          <w:numId w:val="2"/>
        </w:numPr>
        <w:tabs>
          <w:tab w:val="left" w:pos="-720"/>
          <w:tab w:val="left" w:pos="0"/>
          <w:tab w:val="left" w:pos="360"/>
          <w:tab w:val="left" w:pos="2160"/>
          <w:tab w:val="right" w:pos="3187"/>
          <w:tab w:val="right" w:pos="4581"/>
          <w:tab w:val="right" w:pos="6048"/>
          <w:tab w:val="right" w:pos="7488"/>
          <w:tab w:val="right" w:pos="8640"/>
          <w:tab w:val="right" w:pos="10080"/>
        </w:tabs>
        <w:spacing w:after="120"/>
        <w:jc w:val="both"/>
        <w:rPr>
          <w:color w:val="000000"/>
          <w:sz w:val="20"/>
          <w:lang w:val="en-GB"/>
        </w:rPr>
      </w:pPr>
      <w:r w:rsidRPr="00973F42">
        <w:rPr>
          <w:color w:val="000000"/>
          <w:sz w:val="20"/>
          <w:lang w:val="en-GB"/>
        </w:rPr>
        <w:t>the nature of investments which are suitable for the Scheme to hold, having regard to investment risk</w:t>
      </w:r>
      <w:r w:rsidR="00F54385" w:rsidRPr="00973F42">
        <w:rPr>
          <w:color w:val="000000"/>
          <w:sz w:val="20"/>
          <w:lang w:val="en-GB"/>
        </w:rPr>
        <w:t xml:space="preserve"> and their investment objectives</w:t>
      </w:r>
      <w:r w:rsidRPr="00973F42">
        <w:rPr>
          <w:color w:val="000000"/>
          <w:sz w:val="20"/>
          <w:lang w:val="en-GB"/>
        </w:rPr>
        <w:t>;</w:t>
      </w:r>
    </w:p>
    <w:p w14:paraId="720C6F66" w14:textId="5F4AA5D4" w:rsidR="00522FAB" w:rsidRPr="00973F42" w:rsidRDefault="00522FAB" w:rsidP="003A2261">
      <w:pPr>
        <w:numPr>
          <w:ilvl w:val="0"/>
          <w:numId w:val="2"/>
        </w:numPr>
        <w:tabs>
          <w:tab w:val="left" w:pos="-720"/>
          <w:tab w:val="left" w:pos="0"/>
          <w:tab w:val="left" w:pos="360"/>
          <w:tab w:val="left" w:pos="2160"/>
          <w:tab w:val="right" w:pos="3187"/>
          <w:tab w:val="right" w:pos="4581"/>
          <w:tab w:val="right" w:pos="6048"/>
          <w:tab w:val="right" w:pos="7488"/>
          <w:tab w:val="right" w:pos="8640"/>
          <w:tab w:val="right" w:pos="10080"/>
        </w:tabs>
        <w:spacing w:after="120"/>
        <w:jc w:val="both"/>
        <w:rPr>
          <w:color w:val="000000"/>
          <w:sz w:val="20"/>
          <w:lang w:val="en-GB"/>
        </w:rPr>
      </w:pPr>
      <w:r w:rsidRPr="00973F42">
        <w:rPr>
          <w:color w:val="000000"/>
          <w:sz w:val="20"/>
          <w:lang w:val="en-GB"/>
        </w:rPr>
        <w:t xml:space="preserve">the selection of investments and suitable investment managers; </w:t>
      </w:r>
    </w:p>
    <w:p w14:paraId="3064E250" w14:textId="77777777" w:rsidR="00DF0E14" w:rsidRPr="00973F42" w:rsidRDefault="00522FAB" w:rsidP="003A2261">
      <w:pPr>
        <w:numPr>
          <w:ilvl w:val="0"/>
          <w:numId w:val="2"/>
        </w:numPr>
        <w:tabs>
          <w:tab w:val="left" w:pos="-720"/>
          <w:tab w:val="left" w:pos="0"/>
          <w:tab w:val="left" w:pos="360"/>
          <w:tab w:val="left" w:pos="2160"/>
          <w:tab w:val="right" w:pos="3187"/>
          <w:tab w:val="right" w:pos="4581"/>
          <w:tab w:val="right" w:pos="6048"/>
          <w:tab w:val="right" w:pos="7488"/>
          <w:tab w:val="right" w:pos="8640"/>
          <w:tab w:val="right" w:pos="10080"/>
        </w:tabs>
        <w:spacing w:after="120"/>
        <w:jc w:val="both"/>
        <w:rPr>
          <w:color w:val="000000"/>
          <w:sz w:val="20"/>
          <w:lang w:val="en-GB"/>
        </w:rPr>
      </w:pPr>
      <w:r w:rsidRPr="00973F42">
        <w:rPr>
          <w:color w:val="000000"/>
          <w:sz w:val="20"/>
          <w:lang w:val="en-GB"/>
        </w:rPr>
        <w:t>procedures for regular review of the investment strategy, having regard to the Scheme’s benefit liabilities;</w:t>
      </w:r>
    </w:p>
    <w:p w14:paraId="621A8F4B" w14:textId="389CB8B2" w:rsidR="00522FAB" w:rsidRPr="00973F42" w:rsidRDefault="0061070C" w:rsidP="003A2261">
      <w:pPr>
        <w:numPr>
          <w:ilvl w:val="0"/>
          <w:numId w:val="2"/>
        </w:numPr>
        <w:tabs>
          <w:tab w:val="left" w:pos="-720"/>
          <w:tab w:val="left" w:pos="0"/>
          <w:tab w:val="left" w:pos="360"/>
          <w:tab w:val="left" w:pos="2160"/>
          <w:tab w:val="right" w:pos="3187"/>
          <w:tab w:val="right" w:pos="4581"/>
          <w:tab w:val="right" w:pos="6048"/>
          <w:tab w:val="right" w:pos="7488"/>
          <w:tab w:val="right" w:pos="8640"/>
          <w:tab w:val="right" w:pos="10080"/>
        </w:tabs>
        <w:spacing w:after="120"/>
        <w:jc w:val="both"/>
        <w:rPr>
          <w:color w:val="000000"/>
          <w:sz w:val="20"/>
          <w:lang w:val="en-GB"/>
        </w:rPr>
      </w:pPr>
      <w:r w:rsidRPr="00973F42">
        <w:rPr>
          <w:color w:val="000000"/>
          <w:sz w:val="20"/>
          <w:lang w:val="en-GB"/>
        </w:rPr>
        <w:t xml:space="preserve">procedures for </w:t>
      </w:r>
      <w:proofErr w:type="gramStart"/>
      <w:r w:rsidRPr="00973F42">
        <w:rPr>
          <w:color w:val="000000"/>
          <w:sz w:val="20"/>
          <w:lang w:val="en-GB"/>
        </w:rPr>
        <w:t>day to day</w:t>
      </w:r>
      <w:proofErr w:type="gramEnd"/>
      <w:r w:rsidRPr="00973F42">
        <w:rPr>
          <w:color w:val="000000"/>
          <w:sz w:val="20"/>
          <w:lang w:val="en-GB"/>
        </w:rPr>
        <w:t xml:space="preserve"> management </w:t>
      </w:r>
      <w:r w:rsidR="00F54B0D" w:rsidRPr="00973F42">
        <w:rPr>
          <w:color w:val="000000"/>
          <w:sz w:val="20"/>
          <w:lang w:val="en-GB"/>
        </w:rPr>
        <w:t xml:space="preserve">of the Scheme’s assets </w:t>
      </w:r>
      <w:r w:rsidR="00A86BCE" w:rsidRPr="00973F42">
        <w:rPr>
          <w:color w:val="000000"/>
          <w:sz w:val="20"/>
          <w:lang w:val="en-GB"/>
        </w:rPr>
        <w:t>by the investment managers;</w:t>
      </w:r>
    </w:p>
    <w:p w14:paraId="3E5031A0" w14:textId="77777777" w:rsidR="00212F6D" w:rsidRPr="00973F42" w:rsidRDefault="00522FAB" w:rsidP="003A2261">
      <w:pPr>
        <w:numPr>
          <w:ilvl w:val="0"/>
          <w:numId w:val="2"/>
        </w:numPr>
        <w:tabs>
          <w:tab w:val="left" w:pos="-720"/>
          <w:tab w:val="left" w:pos="0"/>
          <w:tab w:val="left" w:pos="360"/>
          <w:tab w:val="left" w:pos="2160"/>
          <w:tab w:val="right" w:pos="3187"/>
          <w:tab w:val="right" w:pos="4581"/>
          <w:tab w:val="right" w:pos="6048"/>
          <w:tab w:val="right" w:pos="7488"/>
          <w:tab w:val="right" w:pos="8640"/>
          <w:tab w:val="right" w:pos="10080"/>
        </w:tabs>
        <w:spacing w:after="180"/>
        <w:jc w:val="both"/>
        <w:rPr>
          <w:color w:val="000000"/>
          <w:sz w:val="20"/>
          <w:lang w:val="en-GB"/>
        </w:rPr>
      </w:pPr>
      <w:r w:rsidRPr="00973F42">
        <w:rPr>
          <w:color w:val="000000"/>
          <w:sz w:val="20"/>
          <w:lang w:val="en-GB"/>
        </w:rPr>
        <w:t>objectives for investment manager performance</w:t>
      </w:r>
      <w:r w:rsidR="00B2739D" w:rsidRPr="00973F42">
        <w:rPr>
          <w:color w:val="000000"/>
          <w:sz w:val="20"/>
          <w:lang w:val="en-GB"/>
        </w:rPr>
        <w:t>;</w:t>
      </w:r>
    </w:p>
    <w:p w14:paraId="2FF8182C" w14:textId="1E5647AC" w:rsidR="00522FAB" w:rsidRPr="00973F42" w:rsidRDefault="00212F6D" w:rsidP="003A2261">
      <w:pPr>
        <w:numPr>
          <w:ilvl w:val="0"/>
          <w:numId w:val="2"/>
        </w:numPr>
        <w:tabs>
          <w:tab w:val="left" w:pos="-720"/>
          <w:tab w:val="left" w:pos="0"/>
          <w:tab w:val="left" w:pos="360"/>
          <w:tab w:val="left" w:pos="2160"/>
          <w:tab w:val="right" w:pos="3187"/>
          <w:tab w:val="right" w:pos="4581"/>
          <w:tab w:val="right" w:pos="6048"/>
          <w:tab w:val="right" w:pos="7488"/>
          <w:tab w:val="right" w:pos="8640"/>
          <w:tab w:val="right" w:pos="10080"/>
        </w:tabs>
        <w:spacing w:after="180"/>
        <w:jc w:val="both"/>
        <w:rPr>
          <w:color w:val="000000"/>
          <w:sz w:val="20"/>
          <w:lang w:val="en-GB"/>
        </w:rPr>
      </w:pPr>
      <w:r w:rsidRPr="00973F42">
        <w:rPr>
          <w:color w:val="000000"/>
          <w:sz w:val="20"/>
          <w:lang w:val="en-GB"/>
        </w:rPr>
        <w:t>periodic monitoring of the investment managers</w:t>
      </w:r>
      <w:r w:rsidR="00034E38" w:rsidRPr="00973F42">
        <w:rPr>
          <w:color w:val="000000"/>
          <w:sz w:val="20"/>
          <w:lang w:val="en-GB"/>
        </w:rPr>
        <w:t>’</w:t>
      </w:r>
      <w:r w:rsidRPr="00973F42">
        <w:rPr>
          <w:color w:val="000000"/>
          <w:sz w:val="20"/>
          <w:lang w:val="en-GB"/>
        </w:rPr>
        <w:t xml:space="preserve"> performance</w:t>
      </w:r>
      <w:r w:rsidR="00034E38" w:rsidRPr="00973F42">
        <w:rPr>
          <w:color w:val="000000"/>
          <w:sz w:val="20"/>
          <w:lang w:val="en-GB"/>
        </w:rPr>
        <w:t>.</w:t>
      </w:r>
    </w:p>
    <w:p w14:paraId="5BC42759" w14:textId="77777777" w:rsidR="00522FAB" w:rsidRPr="00973F42" w:rsidRDefault="00522FAB" w:rsidP="003A2261">
      <w:pPr>
        <w:tabs>
          <w:tab w:val="left" w:pos="-720"/>
          <w:tab w:val="left" w:pos="0"/>
          <w:tab w:val="left" w:pos="2160"/>
          <w:tab w:val="right" w:pos="3187"/>
          <w:tab w:val="right" w:pos="4581"/>
          <w:tab w:val="right" w:pos="6048"/>
          <w:tab w:val="right" w:pos="7488"/>
          <w:tab w:val="right" w:pos="8640"/>
          <w:tab w:val="right" w:pos="10080"/>
        </w:tabs>
        <w:spacing w:after="180"/>
        <w:jc w:val="both"/>
        <w:rPr>
          <w:color w:val="000000"/>
          <w:sz w:val="20"/>
          <w:lang w:val="en-GB"/>
        </w:rPr>
      </w:pPr>
      <w:r w:rsidRPr="00973F42">
        <w:rPr>
          <w:color w:val="000000"/>
          <w:sz w:val="20"/>
          <w:lang w:val="en-GB"/>
        </w:rPr>
        <w:t>The Trustees will review the Statement of Investment Principles at least every three years (or more frequently, if required) to ensure the principles continue to be appropriate to the Scheme.</w:t>
      </w:r>
    </w:p>
    <w:p w14:paraId="73CEDF1F" w14:textId="77777777" w:rsidR="00E71971" w:rsidRPr="00973F42" w:rsidRDefault="00591823" w:rsidP="003A2261">
      <w:pPr>
        <w:tabs>
          <w:tab w:val="left" w:pos="-720"/>
          <w:tab w:val="left" w:pos="0"/>
          <w:tab w:val="left" w:pos="2160"/>
          <w:tab w:val="right" w:pos="6048"/>
          <w:tab w:val="right" w:pos="7488"/>
          <w:tab w:val="right" w:pos="8640"/>
          <w:tab w:val="right" w:pos="10080"/>
        </w:tabs>
        <w:jc w:val="both"/>
        <w:rPr>
          <w:color w:val="000000"/>
          <w:sz w:val="20"/>
          <w:lang w:val="en-GB"/>
        </w:rPr>
      </w:pPr>
      <w:r w:rsidRPr="00973F42">
        <w:rPr>
          <w:color w:val="000000"/>
          <w:sz w:val="20"/>
          <w:lang w:val="en-GB"/>
        </w:rPr>
        <w:t xml:space="preserve">The Trustees meet periodically to </w:t>
      </w:r>
      <w:r w:rsidR="009955FF" w:rsidRPr="00973F42">
        <w:rPr>
          <w:color w:val="000000"/>
          <w:sz w:val="20"/>
          <w:lang w:val="en-GB"/>
        </w:rPr>
        <w:t xml:space="preserve">review investment strategy </w:t>
      </w:r>
      <w:r w:rsidR="0038532D" w:rsidRPr="00973F42">
        <w:rPr>
          <w:color w:val="000000"/>
          <w:sz w:val="20"/>
          <w:lang w:val="en-GB"/>
        </w:rPr>
        <w:t xml:space="preserve">and </w:t>
      </w:r>
      <w:r w:rsidR="005C4E71" w:rsidRPr="00973F42">
        <w:rPr>
          <w:color w:val="000000"/>
          <w:sz w:val="20"/>
          <w:lang w:val="en-GB"/>
        </w:rPr>
        <w:t xml:space="preserve">to </w:t>
      </w:r>
      <w:r w:rsidR="009955FF" w:rsidRPr="00973F42">
        <w:rPr>
          <w:color w:val="000000"/>
          <w:sz w:val="20"/>
          <w:lang w:val="en-GB"/>
        </w:rPr>
        <w:t>mon</w:t>
      </w:r>
      <w:r w:rsidR="0038532D" w:rsidRPr="00973F42">
        <w:rPr>
          <w:color w:val="000000"/>
          <w:sz w:val="20"/>
          <w:lang w:val="en-GB"/>
        </w:rPr>
        <w:t xml:space="preserve">itor </w:t>
      </w:r>
      <w:r w:rsidR="00287AA2" w:rsidRPr="00973F42">
        <w:rPr>
          <w:color w:val="000000"/>
          <w:sz w:val="20"/>
          <w:lang w:val="en-GB"/>
        </w:rPr>
        <w:t xml:space="preserve">the </w:t>
      </w:r>
      <w:r w:rsidR="0038532D" w:rsidRPr="00973F42">
        <w:rPr>
          <w:color w:val="000000"/>
          <w:sz w:val="20"/>
          <w:lang w:val="en-GB"/>
        </w:rPr>
        <w:t>performance</w:t>
      </w:r>
      <w:r w:rsidR="003F0AC0" w:rsidRPr="00973F42">
        <w:rPr>
          <w:color w:val="000000"/>
          <w:sz w:val="20"/>
          <w:lang w:val="en-GB"/>
        </w:rPr>
        <w:t xml:space="preserve"> of the funds in which they invest</w:t>
      </w:r>
      <w:r w:rsidR="003C6F1B" w:rsidRPr="00973F42">
        <w:rPr>
          <w:color w:val="000000"/>
          <w:sz w:val="20"/>
          <w:lang w:val="en-GB"/>
        </w:rPr>
        <w:t xml:space="preserve">. </w:t>
      </w:r>
      <w:r w:rsidR="00EE71DC" w:rsidRPr="00973F42">
        <w:rPr>
          <w:color w:val="000000"/>
          <w:sz w:val="20"/>
          <w:lang w:val="en-GB"/>
        </w:rPr>
        <w:t>The Trustees have maintained investment in corporate bond</w:t>
      </w:r>
      <w:r w:rsidR="00887E08" w:rsidRPr="00973F42">
        <w:rPr>
          <w:color w:val="000000"/>
          <w:sz w:val="20"/>
          <w:lang w:val="en-GB"/>
        </w:rPr>
        <w:t xml:space="preserve"> fund</w:t>
      </w:r>
      <w:r w:rsidR="00EE71DC" w:rsidRPr="00973F42">
        <w:rPr>
          <w:color w:val="000000"/>
          <w:sz w:val="20"/>
          <w:lang w:val="en-GB"/>
        </w:rPr>
        <w:t xml:space="preserve">s taking into account the risk profile of the </w:t>
      </w:r>
      <w:r w:rsidR="004161A4" w:rsidRPr="00973F42">
        <w:rPr>
          <w:color w:val="000000"/>
          <w:sz w:val="20"/>
          <w:lang w:val="en-GB"/>
        </w:rPr>
        <w:t xml:space="preserve">Scheme’s </w:t>
      </w:r>
      <w:r w:rsidR="007D4AF3" w:rsidRPr="00973F42">
        <w:rPr>
          <w:color w:val="000000"/>
          <w:sz w:val="20"/>
          <w:lang w:val="en-GB"/>
        </w:rPr>
        <w:t xml:space="preserve">defined </w:t>
      </w:r>
      <w:r w:rsidR="004161A4" w:rsidRPr="00973F42">
        <w:rPr>
          <w:color w:val="000000"/>
          <w:sz w:val="20"/>
          <w:lang w:val="en-GB"/>
        </w:rPr>
        <w:t>benefit liabilities</w:t>
      </w:r>
      <w:r w:rsidR="00EE71DC" w:rsidRPr="00973F42">
        <w:rPr>
          <w:color w:val="000000"/>
          <w:sz w:val="20"/>
          <w:lang w:val="en-GB"/>
        </w:rPr>
        <w:t>.</w:t>
      </w:r>
    </w:p>
    <w:p w14:paraId="17968AD6" w14:textId="77777777" w:rsidR="00785611" w:rsidRPr="00973F42" w:rsidRDefault="00785611" w:rsidP="003A2261">
      <w:pPr>
        <w:tabs>
          <w:tab w:val="left" w:pos="-720"/>
          <w:tab w:val="left" w:pos="0"/>
          <w:tab w:val="left" w:pos="4262"/>
          <w:tab w:val="left" w:pos="5727"/>
          <w:tab w:val="right" w:pos="6420"/>
          <w:tab w:val="right" w:pos="7848"/>
          <w:tab w:val="right" w:pos="9133"/>
        </w:tabs>
        <w:jc w:val="both"/>
        <w:rPr>
          <w:rFonts w:eastAsia="Arial Narrow"/>
          <w:b/>
          <w:color w:val="0A090E"/>
          <w:spacing w:val="5"/>
          <w:sz w:val="20"/>
        </w:rPr>
      </w:pPr>
    </w:p>
    <w:p w14:paraId="537ADC41" w14:textId="061BBCCD" w:rsidR="00922205" w:rsidRPr="00973F42" w:rsidRDefault="00993EFF" w:rsidP="003A2261">
      <w:pPr>
        <w:tabs>
          <w:tab w:val="left" w:pos="-720"/>
          <w:tab w:val="left" w:pos="0"/>
          <w:tab w:val="left" w:pos="4262"/>
          <w:tab w:val="left" w:pos="5727"/>
          <w:tab w:val="right" w:pos="6420"/>
          <w:tab w:val="right" w:pos="7848"/>
          <w:tab w:val="right" w:pos="9133"/>
        </w:tabs>
        <w:jc w:val="both"/>
        <w:rPr>
          <w:snapToGrid/>
          <w:sz w:val="20"/>
          <w:lang w:val="en-GB" w:eastAsia="en-GB"/>
        </w:rPr>
      </w:pPr>
      <w:r w:rsidRPr="00973F42">
        <w:rPr>
          <w:rFonts w:eastAsia="Arial Narrow"/>
          <w:color w:val="0A090E"/>
          <w:sz w:val="20"/>
        </w:rPr>
        <w:t xml:space="preserve">During </w:t>
      </w:r>
      <w:r w:rsidR="00122718" w:rsidRPr="00973F42">
        <w:rPr>
          <w:rFonts w:eastAsia="Arial Narrow"/>
          <w:color w:val="0A090E"/>
          <w:sz w:val="20"/>
        </w:rPr>
        <w:t>th</w:t>
      </w:r>
      <w:r w:rsidR="0027069F" w:rsidRPr="00973F42">
        <w:rPr>
          <w:rFonts w:eastAsia="Arial Narrow"/>
          <w:color w:val="0A090E"/>
          <w:sz w:val="20"/>
        </w:rPr>
        <w:t>e</w:t>
      </w:r>
      <w:r w:rsidR="00122718" w:rsidRPr="00973F42">
        <w:rPr>
          <w:rFonts w:eastAsia="Arial Narrow"/>
          <w:color w:val="0A090E"/>
          <w:sz w:val="20"/>
        </w:rPr>
        <w:t xml:space="preserve"> reporting period, t</w:t>
      </w:r>
      <w:r w:rsidR="00C07E75" w:rsidRPr="00973F42">
        <w:rPr>
          <w:rFonts w:eastAsia="Arial Narrow"/>
          <w:color w:val="0A090E"/>
          <w:sz w:val="20"/>
        </w:rPr>
        <w:t>he Defined Benefit Section of the Scheme invest</w:t>
      </w:r>
      <w:r w:rsidR="00122718" w:rsidRPr="00973F42">
        <w:rPr>
          <w:rFonts w:eastAsia="Arial Narrow"/>
          <w:color w:val="0A090E"/>
          <w:sz w:val="20"/>
        </w:rPr>
        <w:t>ed</w:t>
      </w:r>
      <w:r w:rsidR="00C07E75" w:rsidRPr="00973F42">
        <w:rPr>
          <w:rFonts w:eastAsia="Arial Narrow"/>
          <w:color w:val="0A090E"/>
          <w:sz w:val="20"/>
        </w:rPr>
        <w:t xml:space="preserve"> </w:t>
      </w:r>
      <w:r w:rsidR="00AA4928" w:rsidRPr="00973F42">
        <w:rPr>
          <w:rFonts w:eastAsia="Arial Narrow"/>
          <w:color w:val="0A090E"/>
          <w:sz w:val="20"/>
        </w:rPr>
        <w:t xml:space="preserve">primarily </w:t>
      </w:r>
      <w:r w:rsidR="00C07E75" w:rsidRPr="00973F42">
        <w:rPr>
          <w:rFonts w:eastAsia="Arial Narrow"/>
          <w:color w:val="0A090E"/>
          <w:sz w:val="20"/>
        </w:rPr>
        <w:t xml:space="preserve">in the Aberdeen </w:t>
      </w:r>
      <w:r w:rsidR="005618E1" w:rsidRPr="00973F42">
        <w:rPr>
          <w:rFonts w:eastAsia="Arial Narrow"/>
          <w:color w:val="0A090E"/>
          <w:sz w:val="20"/>
        </w:rPr>
        <w:t>S</w:t>
      </w:r>
      <w:r w:rsidR="00407B09" w:rsidRPr="00973F42">
        <w:rPr>
          <w:rFonts w:eastAsia="Arial Narrow"/>
          <w:color w:val="0A090E"/>
          <w:sz w:val="20"/>
        </w:rPr>
        <w:t xml:space="preserve">tandard Investments </w:t>
      </w:r>
      <w:r w:rsidR="00C07E75" w:rsidRPr="00973F42">
        <w:rPr>
          <w:rFonts w:eastAsia="Arial Narrow"/>
          <w:color w:val="0A090E"/>
          <w:sz w:val="20"/>
        </w:rPr>
        <w:t xml:space="preserve">Sterling Opportunistic Corporate Bond </w:t>
      </w:r>
      <w:r w:rsidR="00C07E75" w:rsidRPr="00973F42">
        <w:rPr>
          <w:rFonts w:eastAsia="Tahoma"/>
          <w:color w:val="0A090E"/>
          <w:sz w:val="20"/>
        </w:rPr>
        <w:t xml:space="preserve">Fund which </w:t>
      </w:r>
      <w:r w:rsidR="00C07E75" w:rsidRPr="00973F42">
        <w:rPr>
          <w:snapToGrid/>
          <w:sz w:val="20"/>
          <w:lang w:val="en-GB" w:eastAsia="en-GB"/>
        </w:rPr>
        <w:t>aim</w:t>
      </w:r>
      <w:r w:rsidR="00122718" w:rsidRPr="00973F42">
        <w:rPr>
          <w:snapToGrid/>
          <w:sz w:val="20"/>
          <w:lang w:val="en-GB" w:eastAsia="en-GB"/>
        </w:rPr>
        <w:t>ed</w:t>
      </w:r>
      <w:r w:rsidR="00C07E75" w:rsidRPr="00973F42">
        <w:rPr>
          <w:snapToGrid/>
          <w:sz w:val="20"/>
          <w:lang w:val="en-GB" w:eastAsia="en-GB"/>
        </w:rPr>
        <w:t xml:space="preserve"> to provide income and some growth over the long term (5 years or more) by investing </w:t>
      </w:r>
      <w:r w:rsidR="00082D8B" w:rsidRPr="00973F42">
        <w:rPr>
          <w:rFonts w:eastAsia="Arial Narrow"/>
          <w:color w:val="0A090E"/>
          <w:sz w:val="20"/>
        </w:rPr>
        <w:t>predominately</w:t>
      </w:r>
      <w:r w:rsidR="00082D8B" w:rsidRPr="00973F42">
        <w:rPr>
          <w:snapToGrid/>
          <w:sz w:val="20"/>
          <w:lang w:val="en-GB" w:eastAsia="en-GB"/>
        </w:rPr>
        <w:t xml:space="preserve"> </w:t>
      </w:r>
      <w:r w:rsidR="00C07E75" w:rsidRPr="00973F42">
        <w:rPr>
          <w:snapToGrid/>
          <w:sz w:val="20"/>
          <w:lang w:val="en-GB" w:eastAsia="en-GB"/>
        </w:rPr>
        <w:t>in bonds. The Fund ha</w:t>
      </w:r>
      <w:r w:rsidR="00BA52B4" w:rsidRPr="00973F42">
        <w:rPr>
          <w:snapToGrid/>
          <w:sz w:val="20"/>
          <w:lang w:val="en-GB" w:eastAsia="en-GB"/>
        </w:rPr>
        <w:t>d</w:t>
      </w:r>
      <w:r w:rsidR="00C07E75" w:rsidRPr="00973F42">
        <w:rPr>
          <w:snapToGrid/>
          <w:sz w:val="20"/>
          <w:lang w:val="en-GB" w:eastAsia="en-GB"/>
        </w:rPr>
        <w:t xml:space="preserve"> a Performance Target to achieve the return of the </w:t>
      </w:r>
      <w:proofErr w:type="spellStart"/>
      <w:r w:rsidR="00C07E75" w:rsidRPr="00973F42">
        <w:rPr>
          <w:snapToGrid/>
          <w:sz w:val="20"/>
          <w:lang w:val="en-GB" w:eastAsia="en-GB"/>
        </w:rPr>
        <w:t>iBoxx</w:t>
      </w:r>
      <w:proofErr w:type="spellEnd"/>
      <w:r w:rsidR="00C07E75" w:rsidRPr="00973F42">
        <w:rPr>
          <w:snapToGrid/>
          <w:sz w:val="20"/>
          <w:lang w:val="en-GB" w:eastAsia="en-GB"/>
        </w:rPr>
        <w:t xml:space="preserve"> Sterling Collateralized &amp; Corporates (1-10 year) Index plus 1.25% per annum (before charges).</w:t>
      </w:r>
      <w:r w:rsidR="00051BE5" w:rsidRPr="00973F42">
        <w:rPr>
          <w:snapToGrid/>
          <w:sz w:val="20"/>
          <w:lang w:val="en-GB" w:eastAsia="en-GB"/>
        </w:rPr>
        <w:t xml:space="preserve">  </w:t>
      </w:r>
      <w:r w:rsidR="00F4461C" w:rsidRPr="00973F42">
        <w:rPr>
          <w:snapToGrid/>
          <w:sz w:val="20"/>
          <w:lang w:val="en-GB" w:eastAsia="en-GB"/>
        </w:rPr>
        <w:t>Additionally, f</w:t>
      </w:r>
      <w:r w:rsidR="000B6E38" w:rsidRPr="00973F42">
        <w:rPr>
          <w:snapToGrid/>
          <w:sz w:val="20"/>
          <w:lang w:val="en-GB" w:eastAsia="en-GB"/>
        </w:rPr>
        <w:t xml:space="preserve">or working capital and liquidity purposes </w:t>
      </w:r>
      <w:r w:rsidR="00C9675B" w:rsidRPr="00973F42">
        <w:rPr>
          <w:snapToGrid/>
          <w:sz w:val="20"/>
          <w:lang w:val="en-GB" w:eastAsia="en-GB"/>
        </w:rPr>
        <w:t>t</w:t>
      </w:r>
      <w:r w:rsidR="00C9675B" w:rsidRPr="00973F42">
        <w:rPr>
          <w:color w:val="000000"/>
          <w:sz w:val="20"/>
          <w:lang w:val="en-GB"/>
        </w:rPr>
        <w:t xml:space="preserve">he Trustees maintained </w:t>
      </w:r>
      <w:r w:rsidR="000B6E38" w:rsidRPr="00973F42">
        <w:rPr>
          <w:snapToGrid/>
          <w:sz w:val="20"/>
          <w:lang w:val="en-GB" w:eastAsia="en-GB"/>
        </w:rPr>
        <w:t>a</w:t>
      </w:r>
      <w:r w:rsidR="00A428BD" w:rsidRPr="00973F42">
        <w:rPr>
          <w:snapToGrid/>
          <w:sz w:val="20"/>
          <w:lang w:val="en-GB" w:eastAsia="en-GB"/>
        </w:rPr>
        <w:t xml:space="preserve"> small holding in the Scottish </w:t>
      </w:r>
      <w:r w:rsidR="007E6E77" w:rsidRPr="00973F42">
        <w:rPr>
          <w:snapToGrid/>
          <w:sz w:val="20"/>
          <w:lang w:val="en-GB" w:eastAsia="en-GB"/>
        </w:rPr>
        <w:t>W</w:t>
      </w:r>
      <w:r w:rsidR="00A428BD" w:rsidRPr="00973F42">
        <w:rPr>
          <w:snapToGrid/>
          <w:sz w:val="20"/>
          <w:lang w:val="en-GB" w:eastAsia="en-GB"/>
        </w:rPr>
        <w:t>idows</w:t>
      </w:r>
      <w:r w:rsidR="007E6E77" w:rsidRPr="00973F42">
        <w:rPr>
          <w:snapToGrid/>
          <w:sz w:val="20"/>
          <w:lang w:val="en-GB" w:eastAsia="en-GB"/>
        </w:rPr>
        <w:t xml:space="preserve"> Limited Cash Fund. </w:t>
      </w:r>
      <w:r w:rsidR="00407C89" w:rsidRPr="00973F42">
        <w:rPr>
          <w:snapToGrid/>
          <w:sz w:val="20"/>
          <w:lang w:val="en-GB" w:eastAsia="en-GB"/>
        </w:rPr>
        <w:t xml:space="preserve">Additional Voluntary Contributions </w:t>
      </w:r>
      <w:r w:rsidR="00D648A4" w:rsidRPr="00973F42">
        <w:rPr>
          <w:snapToGrid/>
          <w:sz w:val="20"/>
          <w:lang w:val="en-GB" w:eastAsia="en-GB"/>
        </w:rPr>
        <w:t xml:space="preserve">attributable to members of the Defined Benefits </w:t>
      </w:r>
      <w:r w:rsidR="00536237" w:rsidRPr="00973F42">
        <w:rPr>
          <w:snapToGrid/>
          <w:sz w:val="20"/>
          <w:lang w:val="en-GB" w:eastAsia="en-GB"/>
        </w:rPr>
        <w:t>S</w:t>
      </w:r>
      <w:r w:rsidR="00D648A4" w:rsidRPr="00973F42">
        <w:rPr>
          <w:snapToGrid/>
          <w:sz w:val="20"/>
          <w:lang w:val="en-GB" w:eastAsia="en-GB"/>
        </w:rPr>
        <w:t xml:space="preserve">ection </w:t>
      </w:r>
      <w:r w:rsidR="008709A7" w:rsidRPr="00973F42">
        <w:rPr>
          <w:snapToGrid/>
          <w:sz w:val="20"/>
          <w:lang w:val="en-GB" w:eastAsia="en-GB"/>
        </w:rPr>
        <w:t>we</w:t>
      </w:r>
      <w:r w:rsidR="00D648A4" w:rsidRPr="00973F42">
        <w:rPr>
          <w:snapToGrid/>
          <w:sz w:val="20"/>
          <w:lang w:val="en-GB" w:eastAsia="en-GB"/>
        </w:rPr>
        <w:t xml:space="preserve">re </w:t>
      </w:r>
      <w:r w:rsidR="002C0A72" w:rsidRPr="00973F42">
        <w:rPr>
          <w:snapToGrid/>
          <w:sz w:val="20"/>
          <w:lang w:val="en-GB" w:eastAsia="en-GB"/>
        </w:rPr>
        <w:t xml:space="preserve">invested in </w:t>
      </w:r>
      <w:r w:rsidR="000C5F22" w:rsidRPr="00973F42">
        <w:rPr>
          <w:snapToGrid/>
          <w:sz w:val="20"/>
          <w:lang w:val="en-GB" w:eastAsia="en-GB"/>
        </w:rPr>
        <w:t xml:space="preserve">pooled fund </w:t>
      </w:r>
      <w:r w:rsidR="00220D41" w:rsidRPr="00973F42">
        <w:rPr>
          <w:snapToGrid/>
          <w:sz w:val="20"/>
          <w:lang w:val="en-GB" w:eastAsia="en-GB"/>
        </w:rPr>
        <w:t xml:space="preserve">insurance </w:t>
      </w:r>
      <w:r w:rsidR="002C0A72" w:rsidRPr="00973F42">
        <w:rPr>
          <w:snapToGrid/>
          <w:sz w:val="20"/>
          <w:lang w:val="en-GB" w:eastAsia="en-GB"/>
        </w:rPr>
        <w:t xml:space="preserve">policies </w:t>
      </w:r>
      <w:r w:rsidR="00220D41" w:rsidRPr="00973F42">
        <w:rPr>
          <w:snapToGrid/>
          <w:sz w:val="20"/>
          <w:lang w:val="en-GB" w:eastAsia="en-GB"/>
        </w:rPr>
        <w:t>issued by</w:t>
      </w:r>
      <w:r w:rsidR="002C0A72" w:rsidRPr="00973F42">
        <w:rPr>
          <w:snapToGrid/>
          <w:sz w:val="20"/>
          <w:lang w:val="en-GB" w:eastAsia="en-GB"/>
        </w:rPr>
        <w:t xml:space="preserve"> Prudential Assurance </w:t>
      </w:r>
      <w:r w:rsidR="00536237" w:rsidRPr="00973F42">
        <w:rPr>
          <w:snapToGrid/>
          <w:sz w:val="20"/>
          <w:lang w:val="en-GB" w:eastAsia="en-GB"/>
        </w:rPr>
        <w:t>C</w:t>
      </w:r>
      <w:r w:rsidR="002C0A72" w:rsidRPr="00973F42">
        <w:rPr>
          <w:snapToGrid/>
          <w:sz w:val="20"/>
          <w:lang w:val="en-GB" w:eastAsia="en-GB"/>
        </w:rPr>
        <w:t>ompany Limited</w:t>
      </w:r>
      <w:r w:rsidR="00223187" w:rsidRPr="00973F42">
        <w:rPr>
          <w:snapToGrid/>
          <w:sz w:val="20"/>
          <w:lang w:val="en-GB" w:eastAsia="en-GB"/>
        </w:rPr>
        <w:t>, predominantly on a with profit basis</w:t>
      </w:r>
      <w:r w:rsidR="002C0A72" w:rsidRPr="00973F42">
        <w:rPr>
          <w:snapToGrid/>
          <w:sz w:val="20"/>
          <w:lang w:val="en-GB" w:eastAsia="en-GB"/>
        </w:rPr>
        <w:t>.</w:t>
      </w:r>
    </w:p>
    <w:p w14:paraId="159AD279" w14:textId="619CCD56" w:rsidR="00A33569" w:rsidRPr="00973F42" w:rsidRDefault="00A33569" w:rsidP="003A2261">
      <w:pPr>
        <w:tabs>
          <w:tab w:val="left" w:pos="-720"/>
          <w:tab w:val="left" w:pos="0"/>
          <w:tab w:val="left" w:pos="4262"/>
          <w:tab w:val="left" w:pos="5727"/>
          <w:tab w:val="right" w:pos="6420"/>
          <w:tab w:val="right" w:pos="7848"/>
          <w:tab w:val="right" w:pos="9133"/>
        </w:tabs>
        <w:jc w:val="both"/>
        <w:rPr>
          <w:snapToGrid/>
          <w:sz w:val="20"/>
          <w:lang w:val="en-GB" w:eastAsia="en-GB"/>
        </w:rPr>
      </w:pPr>
    </w:p>
    <w:p w14:paraId="577E3F85" w14:textId="37A4A138" w:rsidR="00554417" w:rsidRPr="00973F42" w:rsidRDefault="00DC3621" w:rsidP="00CE508D">
      <w:pPr>
        <w:tabs>
          <w:tab w:val="left" w:pos="-720"/>
          <w:tab w:val="left" w:pos="0"/>
          <w:tab w:val="left" w:pos="4262"/>
          <w:tab w:val="left" w:pos="5727"/>
          <w:tab w:val="right" w:pos="6420"/>
          <w:tab w:val="right" w:pos="7848"/>
          <w:tab w:val="right" w:pos="9133"/>
        </w:tabs>
        <w:spacing w:after="180"/>
        <w:jc w:val="both"/>
        <w:rPr>
          <w:snapToGrid/>
          <w:sz w:val="20"/>
          <w:lang w:val="en-GB" w:eastAsia="en-GB"/>
        </w:rPr>
      </w:pPr>
      <w:r w:rsidRPr="00973F42">
        <w:rPr>
          <w:snapToGrid/>
          <w:sz w:val="20"/>
          <w:lang w:val="en-GB" w:eastAsia="en-GB"/>
        </w:rPr>
        <w:t xml:space="preserve">Certain members have benefits in the </w:t>
      </w:r>
      <w:r w:rsidR="005424C6" w:rsidRPr="00973F42">
        <w:rPr>
          <w:snapToGrid/>
          <w:sz w:val="20"/>
          <w:lang w:val="en-GB" w:eastAsia="en-GB"/>
        </w:rPr>
        <w:t>Money Purchase Section</w:t>
      </w:r>
      <w:r w:rsidR="00F11C0F" w:rsidRPr="00973F42">
        <w:rPr>
          <w:snapToGrid/>
          <w:sz w:val="20"/>
          <w:lang w:val="en-GB" w:eastAsia="en-GB"/>
        </w:rPr>
        <w:t xml:space="preserve"> which comp</w:t>
      </w:r>
      <w:r w:rsidR="001549DB" w:rsidRPr="00973F42">
        <w:rPr>
          <w:snapToGrid/>
          <w:sz w:val="20"/>
          <w:lang w:val="en-GB" w:eastAsia="en-GB"/>
        </w:rPr>
        <w:t xml:space="preserve">rise </w:t>
      </w:r>
      <w:r w:rsidR="00BB737C" w:rsidRPr="00973F42">
        <w:rPr>
          <w:snapToGrid/>
          <w:sz w:val="20"/>
          <w:lang w:val="en-GB" w:eastAsia="en-GB"/>
        </w:rPr>
        <w:t xml:space="preserve">less than </w:t>
      </w:r>
      <w:r w:rsidR="001549DB" w:rsidRPr="00973F42">
        <w:rPr>
          <w:snapToGrid/>
          <w:sz w:val="20"/>
          <w:lang w:val="en-GB" w:eastAsia="en-GB"/>
        </w:rPr>
        <w:t>0.</w:t>
      </w:r>
      <w:r w:rsidR="00BB737C" w:rsidRPr="00973F42">
        <w:rPr>
          <w:snapToGrid/>
          <w:sz w:val="20"/>
          <w:lang w:val="en-GB" w:eastAsia="en-GB"/>
        </w:rPr>
        <w:t>2</w:t>
      </w:r>
      <w:r w:rsidR="001549DB" w:rsidRPr="00973F42">
        <w:rPr>
          <w:snapToGrid/>
          <w:sz w:val="20"/>
          <w:lang w:val="en-GB" w:eastAsia="en-GB"/>
        </w:rPr>
        <w:t>% of overall Scheme assets.</w:t>
      </w:r>
      <w:r w:rsidR="00477CF2" w:rsidRPr="00973F42">
        <w:rPr>
          <w:snapToGrid/>
          <w:sz w:val="20"/>
          <w:lang w:val="en-GB" w:eastAsia="en-GB"/>
        </w:rPr>
        <w:t xml:space="preserve"> </w:t>
      </w:r>
      <w:r w:rsidR="00997FA5" w:rsidRPr="00973F42">
        <w:rPr>
          <w:snapToGrid/>
          <w:sz w:val="20"/>
          <w:lang w:val="en-GB" w:eastAsia="en-GB"/>
        </w:rPr>
        <w:t xml:space="preserve">These </w:t>
      </w:r>
      <w:r w:rsidR="00821201" w:rsidRPr="00973F42">
        <w:rPr>
          <w:snapToGrid/>
          <w:sz w:val="20"/>
          <w:lang w:val="en-GB" w:eastAsia="en-GB"/>
        </w:rPr>
        <w:t>benefits are invested in pooled fund insurance policies issued by Prudential Assurance Company Limited</w:t>
      </w:r>
      <w:r w:rsidR="00043523" w:rsidRPr="00973F42">
        <w:rPr>
          <w:snapToGrid/>
          <w:sz w:val="20"/>
          <w:lang w:val="en-GB" w:eastAsia="en-GB"/>
        </w:rPr>
        <w:t xml:space="preserve"> and </w:t>
      </w:r>
      <w:r w:rsidR="003D7E80" w:rsidRPr="00973F42">
        <w:rPr>
          <w:snapToGrid/>
          <w:sz w:val="20"/>
          <w:lang w:val="en-GB" w:eastAsia="en-GB"/>
        </w:rPr>
        <w:t xml:space="preserve">M&amp;G Financial Services </w:t>
      </w:r>
      <w:r w:rsidR="00186BB1" w:rsidRPr="00973F42">
        <w:rPr>
          <w:snapToGrid/>
          <w:sz w:val="20"/>
          <w:lang w:val="en-GB" w:eastAsia="en-GB"/>
        </w:rPr>
        <w:t>L</w:t>
      </w:r>
      <w:r w:rsidR="003D7E80" w:rsidRPr="00973F42">
        <w:rPr>
          <w:snapToGrid/>
          <w:sz w:val="20"/>
          <w:lang w:val="en-GB" w:eastAsia="en-GB"/>
        </w:rPr>
        <w:t>imited</w:t>
      </w:r>
      <w:r w:rsidR="00821201" w:rsidRPr="00973F42">
        <w:rPr>
          <w:snapToGrid/>
          <w:sz w:val="20"/>
          <w:lang w:val="en-GB" w:eastAsia="en-GB"/>
        </w:rPr>
        <w:t>, predominantly on a with profit basis</w:t>
      </w:r>
      <w:r w:rsidR="00186BB1" w:rsidRPr="00973F42">
        <w:rPr>
          <w:snapToGrid/>
          <w:sz w:val="20"/>
          <w:lang w:val="en-GB" w:eastAsia="en-GB"/>
        </w:rPr>
        <w:t>.</w:t>
      </w:r>
    </w:p>
    <w:p w14:paraId="5FE1C688" w14:textId="77777777" w:rsidR="00E71971" w:rsidRDefault="00E71971" w:rsidP="003A2261">
      <w:pPr>
        <w:tabs>
          <w:tab w:val="left" w:pos="-720"/>
          <w:tab w:val="left" w:pos="0"/>
          <w:tab w:val="left" w:pos="2160"/>
          <w:tab w:val="right" w:pos="6048"/>
          <w:tab w:val="right" w:pos="7488"/>
          <w:tab w:val="right" w:pos="8640"/>
          <w:tab w:val="right" w:pos="10080"/>
        </w:tabs>
        <w:spacing w:after="60"/>
        <w:jc w:val="both"/>
        <w:rPr>
          <w:color w:val="000000"/>
          <w:sz w:val="20"/>
          <w:lang w:val="en-GB"/>
        </w:rPr>
      </w:pPr>
      <w:r>
        <w:rPr>
          <w:color w:val="000000"/>
          <w:sz w:val="20"/>
          <w:lang w:val="en-GB"/>
        </w:rPr>
        <w:t xml:space="preserve">The deployment of assets of the Defined Benefit Section of the Scheme (excluding annuity policies) over the period is shown in the table </w:t>
      </w:r>
      <w:proofErr w:type="gramStart"/>
      <w:r>
        <w:rPr>
          <w:color w:val="000000"/>
          <w:sz w:val="20"/>
          <w:lang w:val="en-GB"/>
        </w:rPr>
        <w:t>below:-</w:t>
      </w:r>
      <w:proofErr w:type="gramEnd"/>
    </w:p>
    <w:tbl>
      <w:tblPr>
        <w:tblW w:w="0" w:type="auto"/>
        <w:tblInd w:w="426" w:type="dxa"/>
        <w:tblLayout w:type="fixed"/>
        <w:tblLook w:val="0000" w:firstRow="0" w:lastRow="0" w:firstColumn="0" w:lastColumn="0" w:noHBand="0" w:noVBand="0"/>
      </w:tblPr>
      <w:tblGrid>
        <w:gridCol w:w="3192"/>
        <w:gridCol w:w="2678"/>
        <w:gridCol w:w="2410"/>
      </w:tblGrid>
      <w:tr w:rsidR="00E71971" w14:paraId="52D84BA9" w14:textId="77777777" w:rsidTr="00DA0EE8">
        <w:trPr>
          <w:trHeight w:val="527"/>
        </w:trPr>
        <w:tc>
          <w:tcPr>
            <w:tcW w:w="3192" w:type="dxa"/>
          </w:tcPr>
          <w:p w14:paraId="1B39CF90" w14:textId="77777777" w:rsidR="00E71971" w:rsidRDefault="00E71971" w:rsidP="007C6AF8">
            <w:pPr>
              <w:tabs>
                <w:tab w:val="left" w:pos="-720"/>
                <w:tab w:val="left" w:pos="0"/>
                <w:tab w:val="left" w:pos="2160"/>
                <w:tab w:val="right" w:pos="3187"/>
                <w:tab w:val="right" w:pos="4581"/>
                <w:tab w:val="right" w:pos="6048"/>
                <w:tab w:val="right" w:pos="7488"/>
                <w:tab w:val="right" w:pos="8640"/>
                <w:tab w:val="right" w:pos="10080"/>
              </w:tabs>
              <w:jc w:val="both"/>
              <w:rPr>
                <w:color w:val="000000"/>
                <w:sz w:val="20"/>
                <w:lang w:val="en-GB"/>
              </w:rPr>
            </w:pPr>
          </w:p>
        </w:tc>
        <w:tc>
          <w:tcPr>
            <w:tcW w:w="2678" w:type="dxa"/>
          </w:tcPr>
          <w:p w14:paraId="0F1CC981" w14:textId="4270C7C2" w:rsidR="00E71971" w:rsidRDefault="00E71971" w:rsidP="00DA0EE8">
            <w:pPr>
              <w:tabs>
                <w:tab w:val="left" w:pos="-720"/>
                <w:tab w:val="left" w:pos="0"/>
                <w:tab w:val="left" w:pos="2160"/>
                <w:tab w:val="right" w:pos="3187"/>
                <w:tab w:val="right" w:pos="4581"/>
                <w:tab w:val="right" w:pos="6048"/>
                <w:tab w:val="right" w:pos="7488"/>
                <w:tab w:val="right" w:pos="8640"/>
                <w:tab w:val="right" w:pos="10080"/>
              </w:tabs>
              <w:ind w:right="720"/>
              <w:jc w:val="right"/>
              <w:rPr>
                <w:b/>
                <w:color w:val="000000"/>
                <w:sz w:val="20"/>
                <w:lang w:val="en-GB"/>
              </w:rPr>
            </w:pPr>
            <w:r>
              <w:rPr>
                <w:b/>
                <w:color w:val="000000"/>
                <w:sz w:val="20"/>
                <w:lang w:val="en-GB"/>
              </w:rPr>
              <w:t>30 September</w:t>
            </w:r>
            <w:r w:rsidR="0035108E">
              <w:rPr>
                <w:b/>
                <w:color w:val="000000"/>
                <w:sz w:val="20"/>
                <w:lang w:val="en-GB"/>
              </w:rPr>
              <w:t xml:space="preserve"> </w:t>
            </w:r>
            <w:r>
              <w:rPr>
                <w:b/>
                <w:color w:val="000000"/>
                <w:sz w:val="20"/>
                <w:lang w:val="en-GB"/>
              </w:rPr>
              <w:t>2020</w:t>
            </w:r>
          </w:p>
          <w:p w14:paraId="5E6B04CC" w14:textId="77777777" w:rsidR="00E71971" w:rsidRDefault="00E71971" w:rsidP="00DA0EE8">
            <w:pPr>
              <w:tabs>
                <w:tab w:val="left" w:pos="-720"/>
                <w:tab w:val="left" w:pos="0"/>
                <w:tab w:val="left" w:pos="2160"/>
                <w:tab w:val="right" w:pos="3187"/>
                <w:tab w:val="right" w:pos="4581"/>
                <w:tab w:val="right" w:pos="6048"/>
                <w:tab w:val="right" w:pos="7488"/>
                <w:tab w:val="right" w:pos="8640"/>
                <w:tab w:val="right" w:pos="10080"/>
              </w:tabs>
              <w:ind w:right="720"/>
              <w:jc w:val="right"/>
              <w:rPr>
                <w:b/>
                <w:color w:val="000000"/>
                <w:sz w:val="20"/>
                <w:lang w:val="en-GB"/>
              </w:rPr>
            </w:pPr>
            <w:r>
              <w:rPr>
                <w:b/>
                <w:color w:val="000000"/>
                <w:sz w:val="20"/>
                <w:lang w:val="en-GB"/>
              </w:rPr>
              <w:t>%</w:t>
            </w:r>
          </w:p>
        </w:tc>
        <w:tc>
          <w:tcPr>
            <w:tcW w:w="2410" w:type="dxa"/>
          </w:tcPr>
          <w:p w14:paraId="0C4919A6" w14:textId="0C489725" w:rsidR="00E71971" w:rsidRDefault="00E71971" w:rsidP="007C6AF8">
            <w:pPr>
              <w:tabs>
                <w:tab w:val="left" w:pos="-720"/>
                <w:tab w:val="left" w:pos="0"/>
                <w:tab w:val="left" w:pos="2160"/>
                <w:tab w:val="right" w:pos="3187"/>
                <w:tab w:val="right" w:pos="4581"/>
                <w:tab w:val="right" w:pos="6048"/>
                <w:tab w:val="right" w:pos="7488"/>
                <w:tab w:val="right" w:pos="8640"/>
                <w:tab w:val="right" w:pos="10080"/>
              </w:tabs>
              <w:ind w:right="720"/>
              <w:jc w:val="right"/>
              <w:rPr>
                <w:b/>
                <w:color w:val="000000"/>
                <w:sz w:val="20"/>
                <w:lang w:val="en-GB"/>
              </w:rPr>
            </w:pPr>
            <w:r>
              <w:rPr>
                <w:b/>
                <w:color w:val="000000"/>
                <w:sz w:val="20"/>
                <w:lang w:val="en-GB"/>
              </w:rPr>
              <w:t>1 October2019</w:t>
            </w:r>
          </w:p>
          <w:p w14:paraId="6B69BF2F" w14:textId="77777777" w:rsidR="00E71971" w:rsidRDefault="00E71971" w:rsidP="007C6AF8">
            <w:pPr>
              <w:tabs>
                <w:tab w:val="left" w:pos="-720"/>
                <w:tab w:val="left" w:pos="0"/>
                <w:tab w:val="left" w:pos="2160"/>
                <w:tab w:val="right" w:pos="3187"/>
                <w:tab w:val="right" w:pos="4581"/>
                <w:tab w:val="right" w:pos="6048"/>
                <w:tab w:val="right" w:pos="7488"/>
                <w:tab w:val="right" w:pos="8640"/>
                <w:tab w:val="right" w:pos="10080"/>
              </w:tabs>
              <w:ind w:right="720"/>
              <w:jc w:val="right"/>
              <w:rPr>
                <w:color w:val="000000"/>
                <w:sz w:val="20"/>
                <w:lang w:val="en-GB"/>
              </w:rPr>
            </w:pPr>
            <w:r>
              <w:rPr>
                <w:b/>
                <w:color w:val="000000"/>
                <w:sz w:val="20"/>
                <w:lang w:val="en-GB"/>
              </w:rPr>
              <w:t>%</w:t>
            </w:r>
          </w:p>
        </w:tc>
      </w:tr>
      <w:tr w:rsidR="00E71971" w:rsidRPr="004C5D9A" w14:paraId="78CC8B63" w14:textId="77777777" w:rsidTr="00DA0EE8">
        <w:tc>
          <w:tcPr>
            <w:tcW w:w="3192" w:type="dxa"/>
          </w:tcPr>
          <w:p w14:paraId="4EDB674A" w14:textId="77777777" w:rsidR="00E71971" w:rsidRPr="004C5D9A" w:rsidRDefault="00E71971" w:rsidP="007C6AF8">
            <w:pPr>
              <w:tabs>
                <w:tab w:val="left" w:pos="-720"/>
                <w:tab w:val="left" w:pos="0"/>
                <w:tab w:val="left" w:pos="2160"/>
                <w:tab w:val="right" w:pos="3187"/>
                <w:tab w:val="right" w:pos="4581"/>
                <w:tab w:val="right" w:pos="6048"/>
                <w:tab w:val="right" w:pos="7488"/>
                <w:tab w:val="right" w:pos="8640"/>
                <w:tab w:val="right" w:pos="10080"/>
              </w:tabs>
              <w:jc w:val="both"/>
              <w:rPr>
                <w:color w:val="000000"/>
                <w:sz w:val="20"/>
                <w:lang w:val="en-GB"/>
              </w:rPr>
            </w:pPr>
            <w:r w:rsidRPr="004C5D9A">
              <w:rPr>
                <w:color w:val="000000"/>
                <w:sz w:val="20"/>
                <w:lang w:val="en-GB"/>
              </w:rPr>
              <w:t>UK and overseas corporate bonds</w:t>
            </w:r>
          </w:p>
        </w:tc>
        <w:tc>
          <w:tcPr>
            <w:tcW w:w="2678" w:type="dxa"/>
          </w:tcPr>
          <w:p w14:paraId="52165401" w14:textId="77777777" w:rsidR="00E71971" w:rsidRPr="004C5D9A" w:rsidRDefault="00E71971" w:rsidP="007C6AF8">
            <w:pPr>
              <w:tabs>
                <w:tab w:val="left" w:pos="-720"/>
                <w:tab w:val="left" w:pos="0"/>
                <w:tab w:val="left" w:pos="2160"/>
                <w:tab w:val="right" w:pos="3187"/>
                <w:tab w:val="right" w:pos="4581"/>
                <w:tab w:val="right" w:pos="6048"/>
                <w:tab w:val="right" w:pos="7488"/>
                <w:tab w:val="right" w:pos="8640"/>
                <w:tab w:val="right" w:pos="10080"/>
              </w:tabs>
              <w:ind w:right="720"/>
              <w:jc w:val="right"/>
              <w:rPr>
                <w:b/>
                <w:color w:val="000000"/>
                <w:sz w:val="20"/>
                <w:lang w:val="en-GB"/>
              </w:rPr>
            </w:pPr>
            <w:r w:rsidRPr="004C5D9A">
              <w:rPr>
                <w:color w:val="000000"/>
                <w:sz w:val="20"/>
                <w:lang w:val="en-GB"/>
              </w:rPr>
              <w:t>99.57</w:t>
            </w:r>
          </w:p>
        </w:tc>
        <w:tc>
          <w:tcPr>
            <w:tcW w:w="2410" w:type="dxa"/>
          </w:tcPr>
          <w:p w14:paraId="3DA18733" w14:textId="77777777" w:rsidR="00E71971" w:rsidRPr="004C5D9A" w:rsidRDefault="00E71971" w:rsidP="007C6AF8">
            <w:pPr>
              <w:tabs>
                <w:tab w:val="left" w:pos="-720"/>
                <w:tab w:val="left" w:pos="0"/>
                <w:tab w:val="left" w:pos="2160"/>
                <w:tab w:val="right" w:pos="3187"/>
                <w:tab w:val="right" w:pos="4581"/>
                <w:tab w:val="right" w:pos="6048"/>
                <w:tab w:val="right" w:pos="7488"/>
                <w:tab w:val="right" w:pos="8640"/>
                <w:tab w:val="right" w:pos="10080"/>
              </w:tabs>
              <w:ind w:right="720"/>
              <w:jc w:val="right"/>
              <w:rPr>
                <w:color w:val="000000"/>
                <w:sz w:val="20"/>
                <w:lang w:val="en-GB"/>
              </w:rPr>
            </w:pPr>
            <w:r w:rsidRPr="004C5D9A">
              <w:rPr>
                <w:color w:val="000000"/>
                <w:sz w:val="20"/>
                <w:lang w:val="en-GB"/>
              </w:rPr>
              <w:t>99.63</w:t>
            </w:r>
          </w:p>
        </w:tc>
      </w:tr>
      <w:tr w:rsidR="00E71971" w:rsidRPr="004C5D9A" w14:paraId="5692674B" w14:textId="77777777" w:rsidTr="00DA0EE8">
        <w:tc>
          <w:tcPr>
            <w:tcW w:w="3192" w:type="dxa"/>
          </w:tcPr>
          <w:p w14:paraId="5A0C4954" w14:textId="77777777" w:rsidR="00E71971" w:rsidRPr="004C5D9A" w:rsidRDefault="00E71971" w:rsidP="007C6AF8">
            <w:pPr>
              <w:tabs>
                <w:tab w:val="left" w:pos="-720"/>
                <w:tab w:val="left" w:pos="0"/>
                <w:tab w:val="left" w:pos="2160"/>
                <w:tab w:val="right" w:pos="3187"/>
                <w:tab w:val="right" w:pos="4581"/>
                <w:tab w:val="right" w:pos="6048"/>
                <w:tab w:val="right" w:pos="7488"/>
                <w:tab w:val="right" w:pos="8640"/>
                <w:tab w:val="right" w:pos="10080"/>
              </w:tabs>
              <w:jc w:val="both"/>
              <w:rPr>
                <w:color w:val="000000"/>
                <w:sz w:val="20"/>
                <w:lang w:val="en-GB"/>
              </w:rPr>
            </w:pPr>
            <w:r w:rsidRPr="004C5D9A">
              <w:rPr>
                <w:color w:val="000000"/>
                <w:sz w:val="20"/>
                <w:lang w:val="en-GB"/>
              </w:rPr>
              <w:t xml:space="preserve">Cash </w:t>
            </w:r>
          </w:p>
        </w:tc>
        <w:tc>
          <w:tcPr>
            <w:tcW w:w="2678" w:type="dxa"/>
          </w:tcPr>
          <w:p w14:paraId="2465F8CE" w14:textId="6532A68B" w:rsidR="00E71971" w:rsidRPr="009B557A" w:rsidRDefault="00726F49" w:rsidP="007C6AF8">
            <w:pPr>
              <w:tabs>
                <w:tab w:val="left" w:pos="-720"/>
                <w:tab w:val="left" w:pos="0"/>
                <w:tab w:val="left" w:pos="2160"/>
                <w:tab w:val="right" w:pos="3187"/>
                <w:tab w:val="right" w:pos="4581"/>
                <w:tab w:val="right" w:pos="6048"/>
                <w:tab w:val="right" w:pos="7488"/>
                <w:tab w:val="right" w:pos="8640"/>
                <w:tab w:val="right" w:pos="10080"/>
              </w:tabs>
              <w:ind w:right="720"/>
              <w:jc w:val="right"/>
              <w:rPr>
                <w:b/>
                <w:color w:val="000000"/>
                <w:sz w:val="20"/>
                <w:u w:val="single"/>
                <w:lang w:val="en-GB"/>
              </w:rPr>
            </w:pPr>
            <w:r w:rsidRPr="009B557A">
              <w:rPr>
                <w:color w:val="000000"/>
                <w:sz w:val="20"/>
                <w:u w:val="single"/>
                <w:lang w:val="en-GB"/>
              </w:rPr>
              <w:t>   </w:t>
            </w:r>
            <w:r w:rsidR="00E71971" w:rsidRPr="009B557A">
              <w:rPr>
                <w:color w:val="000000"/>
                <w:sz w:val="20"/>
                <w:u w:val="single"/>
                <w:lang w:val="en-GB"/>
              </w:rPr>
              <w:t>0.43</w:t>
            </w:r>
          </w:p>
        </w:tc>
        <w:tc>
          <w:tcPr>
            <w:tcW w:w="2410" w:type="dxa"/>
          </w:tcPr>
          <w:p w14:paraId="7706AFC7" w14:textId="509273F5" w:rsidR="00E71971" w:rsidRPr="009B557A" w:rsidRDefault="009B557A" w:rsidP="007C6AF8">
            <w:pPr>
              <w:tabs>
                <w:tab w:val="left" w:pos="-720"/>
                <w:tab w:val="left" w:pos="0"/>
                <w:tab w:val="left" w:pos="2160"/>
                <w:tab w:val="right" w:pos="3187"/>
                <w:tab w:val="right" w:pos="4581"/>
                <w:tab w:val="right" w:pos="6048"/>
                <w:tab w:val="right" w:pos="7488"/>
                <w:tab w:val="right" w:pos="8640"/>
                <w:tab w:val="right" w:pos="10080"/>
              </w:tabs>
              <w:ind w:right="720"/>
              <w:jc w:val="right"/>
              <w:rPr>
                <w:color w:val="000000"/>
                <w:sz w:val="20"/>
                <w:u w:val="single"/>
                <w:lang w:val="en-GB"/>
              </w:rPr>
            </w:pPr>
            <w:r w:rsidRPr="009B557A">
              <w:rPr>
                <w:color w:val="000000"/>
                <w:sz w:val="20"/>
                <w:u w:val="single"/>
                <w:lang w:val="en-GB"/>
              </w:rPr>
              <w:t>  </w:t>
            </w:r>
            <w:r w:rsidRPr="009B557A">
              <w:rPr>
                <w:u w:val="single"/>
              </w:rPr>
              <w:t> </w:t>
            </w:r>
            <w:r w:rsidR="00E71971" w:rsidRPr="009B557A">
              <w:rPr>
                <w:color w:val="000000"/>
                <w:sz w:val="20"/>
                <w:u w:val="single"/>
                <w:lang w:val="en-GB"/>
              </w:rPr>
              <w:t>0.37</w:t>
            </w:r>
          </w:p>
        </w:tc>
      </w:tr>
      <w:tr w:rsidR="006766DC" w:rsidRPr="004C5D9A" w14:paraId="316D55AF" w14:textId="77777777" w:rsidTr="00DA0EE8">
        <w:tc>
          <w:tcPr>
            <w:tcW w:w="3192" w:type="dxa"/>
          </w:tcPr>
          <w:p w14:paraId="0EA458AE" w14:textId="77777777" w:rsidR="006766DC" w:rsidRPr="004C5D9A" w:rsidRDefault="006766DC" w:rsidP="007C6AF8">
            <w:pPr>
              <w:tabs>
                <w:tab w:val="left" w:pos="-720"/>
                <w:tab w:val="left" w:pos="0"/>
                <w:tab w:val="left" w:pos="2160"/>
                <w:tab w:val="right" w:pos="3187"/>
                <w:tab w:val="right" w:pos="4581"/>
                <w:tab w:val="right" w:pos="6048"/>
                <w:tab w:val="right" w:pos="7488"/>
                <w:tab w:val="right" w:pos="8640"/>
                <w:tab w:val="right" w:pos="10080"/>
              </w:tabs>
              <w:jc w:val="both"/>
              <w:rPr>
                <w:color w:val="000000"/>
                <w:sz w:val="20"/>
                <w:lang w:val="en-GB"/>
              </w:rPr>
            </w:pPr>
          </w:p>
        </w:tc>
        <w:tc>
          <w:tcPr>
            <w:tcW w:w="2678" w:type="dxa"/>
          </w:tcPr>
          <w:p w14:paraId="51EAB34C" w14:textId="3B9FE235" w:rsidR="006766DC" w:rsidRPr="00726F49" w:rsidRDefault="006766DC" w:rsidP="007C6AF8">
            <w:pPr>
              <w:tabs>
                <w:tab w:val="left" w:pos="-720"/>
                <w:tab w:val="left" w:pos="0"/>
                <w:tab w:val="left" w:pos="2160"/>
                <w:tab w:val="right" w:pos="3187"/>
                <w:tab w:val="right" w:pos="4581"/>
                <w:tab w:val="right" w:pos="6048"/>
                <w:tab w:val="right" w:pos="7488"/>
                <w:tab w:val="right" w:pos="8640"/>
                <w:tab w:val="right" w:pos="10080"/>
              </w:tabs>
              <w:ind w:right="720"/>
              <w:jc w:val="right"/>
              <w:rPr>
                <w:color w:val="000000"/>
                <w:sz w:val="20"/>
                <w:lang w:val="en-GB"/>
              </w:rPr>
            </w:pPr>
            <w:r w:rsidRPr="00726F49">
              <w:rPr>
                <w:color w:val="000000"/>
                <w:sz w:val="20"/>
                <w:lang w:val="en-GB"/>
              </w:rPr>
              <w:t>100.00</w:t>
            </w:r>
          </w:p>
        </w:tc>
        <w:tc>
          <w:tcPr>
            <w:tcW w:w="2410" w:type="dxa"/>
          </w:tcPr>
          <w:p w14:paraId="33ED4B45" w14:textId="5202C3ED" w:rsidR="006766DC" w:rsidRPr="00726F49" w:rsidRDefault="006766DC" w:rsidP="007C6AF8">
            <w:pPr>
              <w:tabs>
                <w:tab w:val="left" w:pos="-720"/>
                <w:tab w:val="left" w:pos="0"/>
                <w:tab w:val="left" w:pos="2160"/>
                <w:tab w:val="right" w:pos="3187"/>
                <w:tab w:val="right" w:pos="4581"/>
                <w:tab w:val="right" w:pos="6048"/>
                <w:tab w:val="right" w:pos="7488"/>
                <w:tab w:val="right" w:pos="8640"/>
                <w:tab w:val="right" w:pos="10080"/>
              </w:tabs>
              <w:ind w:right="720"/>
              <w:jc w:val="right"/>
              <w:rPr>
                <w:color w:val="000000"/>
                <w:sz w:val="20"/>
                <w:lang w:val="en-GB"/>
              </w:rPr>
            </w:pPr>
            <w:r w:rsidRPr="00726F49">
              <w:rPr>
                <w:color w:val="000000"/>
                <w:sz w:val="20"/>
                <w:lang w:val="en-GB"/>
              </w:rPr>
              <w:t>100.00</w:t>
            </w:r>
          </w:p>
        </w:tc>
      </w:tr>
    </w:tbl>
    <w:p w14:paraId="79C00438" w14:textId="77777777" w:rsidR="002A64B8" w:rsidRDefault="002A64B8" w:rsidP="00737C5C">
      <w:pPr>
        <w:pStyle w:val="BodyText2"/>
        <w:jc w:val="center"/>
        <w:rPr>
          <w:b/>
          <w:sz w:val="20"/>
        </w:rPr>
      </w:pPr>
    </w:p>
    <w:p w14:paraId="3568A3A1" w14:textId="566ECC55" w:rsidR="00737C5C" w:rsidRPr="004C5D9A" w:rsidRDefault="00737C5C" w:rsidP="00737C5C">
      <w:pPr>
        <w:pStyle w:val="BodyText2"/>
        <w:jc w:val="center"/>
        <w:rPr>
          <w:b/>
          <w:sz w:val="20"/>
        </w:rPr>
      </w:pPr>
      <w:r w:rsidRPr="004C5D9A">
        <w:rPr>
          <w:b/>
          <w:sz w:val="20"/>
        </w:rPr>
        <w:lastRenderedPageBreak/>
        <w:t>CELSIUS FIRST RETIREMENT BENEFITS SCHEME</w:t>
      </w:r>
    </w:p>
    <w:p w14:paraId="0A5A35E7" w14:textId="77777777" w:rsidR="00737C5C" w:rsidRPr="004C5D9A" w:rsidRDefault="00737C5C" w:rsidP="00737C5C">
      <w:pPr>
        <w:tabs>
          <w:tab w:val="center" w:pos="5233"/>
          <w:tab w:val="right" w:pos="6048"/>
          <w:tab w:val="right" w:pos="7488"/>
          <w:tab w:val="right" w:pos="8640"/>
          <w:tab w:val="right" w:pos="10080"/>
        </w:tabs>
        <w:jc w:val="center"/>
        <w:rPr>
          <w:b/>
          <w:color w:val="000000"/>
          <w:sz w:val="20"/>
          <w:lang w:val="en-GB"/>
        </w:rPr>
      </w:pPr>
    </w:p>
    <w:p w14:paraId="41D28D4C" w14:textId="77777777" w:rsidR="00737C5C" w:rsidRPr="004C5D9A" w:rsidRDefault="00737C5C" w:rsidP="00737C5C">
      <w:pPr>
        <w:tabs>
          <w:tab w:val="center" w:pos="5233"/>
          <w:tab w:val="right" w:pos="6048"/>
          <w:tab w:val="right" w:pos="7488"/>
          <w:tab w:val="right" w:pos="8640"/>
          <w:tab w:val="right" w:pos="10080"/>
        </w:tabs>
        <w:jc w:val="center"/>
        <w:rPr>
          <w:b/>
          <w:color w:val="000000"/>
          <w:sz w:val="20"/>
          <w:lang w:val="en-GB"/>
        </w:rPr>
      </w:pPr>
      <w:r w:rsidRPr="004C5D9A">
        <w:rPr>
          <w:b/>
          <w:color w:val="000000"/>
          <w:sz w:val="20"/>
          <w:lang w:val="en-GB"/>
        </w:rPr>
        <w:t>TRUSTEES' REPORT (continued)</w:t>
      </w:r>
    </w:p>
    <w:p w14:paraId="45838728" w14:textId="77777777" w:rsidR="00737C5C" w:rsidRPr="004C5D9A" w:rsidRDefault="00737C5C" w:rsidP="00737C5C">
      <w:pPr>
        <w:tabs>
          <w:tab w:val="center" w:pos="5233"/>
          <w:tab w:val="right" w:pos="6048"/>
          <w:tab w:val="right" w:pos="7488"/>
          <w:tab w:val="right" w:pos="8640"/>
          <w:tab w:val="right" w:pos="10080"/>
        </w:tabs>
        <w:jc w:val="center"/>
        <w:rPr>
          <w:b/>
          <w:color w:val="000000"/>
          <w:sz w:val="20"/>
          <w:lang w:val="en-GB"/>
        </w:rPr>
      </w:pPr>
      <w:r w:rsidRPr="004C5D9A">
        <w:rPr>
          <w:b/>
          <w:color w:val="000000"/>
          <w:sz w:val="20"/>
          <w:lang w:val="en-GB"/>
        </w:rPr>
        <w:t>30 SEPTEMBER 2020</w:t>
      </w:r>
    </w:p>
    <w:p w14:paraId="61E4EE9C" w14:textId="77777777" w:rsidR="00737C5C" w:rsidRDefault="00737C5C" w:rsidP="00737C5C">
      <w:pPr>
        <w:rPr>
          <w:sz w:val="20"/>
        </w:rPr>
      </w:pPr>
    </w:p>
    <w:p w14:paraId="26A2B1C9" w14:textId="77777777" w:rsidR="00737C5C" w:rsidRPr="00973F42" w:rsidRDefault="00737C5C" w:rsidP="00D75F9A">
      <w:pPr>
        <w:tabs>
          <w:tab w:val="left" w:pos="-720"/>
          <w:tab w:val="left" w:pos="0"/>
          <w:tab w:val="left" w:pos="2160"/>
          <w:tab w:val="right" w:pos="6048"/>
          <w:tab w:val="right" w:pos="7488"/>
          <w:tab w:val="right" w:pos="8640"/>
          <w:tab w:val="right" w:pos="10080"/>
        </w:tabs>
        <w:spacing w:after="240"/>
        <w:jc w:val="both"/>
        <w:rPr>
          <w:color w:val="000000"/>
          <w:sz w:val="20"/>
          <w:lang w:val="en-GB"/>
        </w:rPr>
      </w:pPr>
      <w:r w:rsidRPr="00973F42">
        <w:rPr>
          <w:b/>
          <w:color w:val="000000"/>
          <w:sz w:val="20"/>
          <w:lang w:val="en-GB"/>
        </w:rPr>
        <w:t>INVESTMENT REPORT - continued</w:t>
      </w:r>
    </w:p>
    <w:p w14:paraId="103E88A9" w14:textId="4D60F451" w:rsidR="008C7DB7" w:rsidRPr="00973F42" w:rsidRDefault="008C7DB7" w:rsidP="0002588A">
      <w:pPr>
        <w:widowControl/>
        <w:autoSpaceDE w:val="0"/>
        <w:autoSpaceDN w:val="0"/>
        <w:adjustRightInd w:val="0"/>
        <w:jc w:val="both"/>
        <w:rPr>
          <w:snapToGrid/>
          <w:sz w:val="20"/>
          <w:lang w:val="en-GB" w:eastAsia="en-GB"/>
        </w:rPr>
      </w:pPr>
      <w:r w:rsidRPr="00973F42">
        <w:rPr>
          <w:snapToGrid/>
          <w:sz w:val="20"/>
          <w:lang w:val="en-GB" w:eastAsia="en-GB"/>
        </w:rPr>
        <w:t xml:space="preserve">The </w:t>
      </w:r>
      <w:r w:rsidR="000840A7" w:rsidRPr="00973F42">
        <w:rPr>
          <w:rFonts w:eastAsia="Arial Narrow"/>
          <w:color w:val="0A090E"/>
          <w:sz w:val="20"/>
        </w:rPr>
        <w:t xml:space="preserve">Aberdeen Sterling Opportunistic Corporate Bond </w:t>
      </w:r>
      <w:r w:rsidR="000840A7" w:rsidRPr="00973F42">
        <w:rPr>
          <w:rFonts w:eastAsia="Tahoma"/>
          <w:color w:val="0A090E"/>
          <w:sz w:val="20"/>
        </w:rPr>
        <w:t>Fund</w:t>
      </w:r>
      <w:r w:rsidR="000840A7" w:rsidRPr="00973F42">
        <w:rPr>
          <w:snapToGrid/>
          <w:sz w:val="20"/>
          <w:lang w:val="en-GB" w:eastAsia="en-GB"/>
        </w:rPr>
        <w:t xml:space="preserve"> </w:t>
      </w:r>
      <w:r w:rsidRPr="00973F42">
        <w:rPr>
          <w:snapToGrid/>
          <w:sz w:val="20"/>
          <w:lang w:val="en-GB" w:eastAsia="en-GB"/>
        </w:rPr>
        <w:t>invest</w:t>
      </w:r>
      <w:r w:rsidR="00CA45B5" w:rsidRPr="00973F42">
        <w:rPr>
          <w:snapToGrid/>
          <w:sz w:val="20"/>
          <w:lang w:val="en-GB" w:eastAsia="en-GB"/>
        </w:rPr>
        <w:t>ed</w:t>
      </w:r>
      <w:r w:rsidRPr="00973F42">
        <w:rPr>
          <w:snapToGrid/>
          <w:sz w:val="20"/>
          <w:lang w:val="en-GB" w:eastAsia="en-GB"/>
        </w:rPr>
        <w:t xml:space="preserve"> at least 80% in bonds issued anywhere in the world by governments, sub-sovereigns and corporations. The Fund </w:t>
      </w:r>
      <w:r w:rsidR="007979BC" w:rsidRPr="00973F42">
        <w:rPr>
          <w:snapToGrid/>
          <w:sz w:val="20"/>
          <w:lang w:val="en-GB" w:eastAsia="en-GB"/>
        </w:rPr>
        <w:t>could</w:t>
      </w:r>
      <w:r w:rsidRPr="00973F42">
        <w:rPr>
          <w:snapToGrid/>
          <w:sz w:val="20"/>
          <w:lang w:val="en-GB" w:eastAsia="en-GB"/>
        </w:rPr>
        <w:t xml:space="preserve"> invest in investment grade, emerging market, high yield, inflation-linked, convertible, asset-backed and mortgage-backed bonds. At least 80% of the Fund's investments </w:t>
      </w:r>
      <w:r w:rsidR="007979BC" w:rsidRPr="00973F42">
        <w:rPr>
          <w:snapToGrid/>
          <w:sz w:val="20"/>
          <w:lang w:val="en-GB" w:eastAsia="en-GB"/>
        </w:rPr>
        <w:t>were</w:t>
      </w:r>
      <w:r w:rsidRPr="00973F42">
        <w:rPr>
          <w:snapToGrid/>
          <w:sz w:val="20"/>
          <w:lang w:val="en-GB" w:eastAsia="en-GB"/>
        </w:rPr>
        <w:t xml:space="preserve"> in Sterling or w</w:t>
      </w:r>
      <w:r w:rsidR="002B3613" w:rsidRPr="00973F42">
        <w:rPr>
          <w:snapToGrid/>
          <w:sz w:val="20"/>
          <w:lang w:val="en-GB" w:eastAsia="en-GB"/>
        </w:rPr>
        <w:t>ere</w:t>
      </w:r>
      <w:r w:rsidRPr="00973F42">
        <w:rPr>
          <w:snapToGrid/>
          <w:sz w:val="20"/>
          <w:lang w:val="en-GB" w:eastAsia="en-GB"/>
        </w:rPr>
        <w:t xml:space="preserve"> hedged in relation to the currency. The Fund ha</w:t>
      </w:r>
      <w:r w:rsidR="002B3613" w:rsidRPr="00973F42">
        <w:rPr>
          <w:snapToGrid/>
          <w:sz w:val="20"/>
          <w:lang w:val="en-GB" w:eastAsia="en-GB"/>
        </w:rPr>
        <w:t>d</w:t>
      </w:r>
      <w:r w:rsidRPr="00973F42">
        <w:rPr>
          <w:snapToGrid/>
          <w:sz w:val="20"/>
          <w:lang w:val="en-GB" w:eastAsia="en-GB"/>
        </w:rPr>
        <w:t xml:space="preserve"> some flexibility to seek returns from currencies. The Fund </w:t>
      </w:r>
      <w:r w:rsidR="00EE2F72" w:rsidRPr="00973F42">
        <w:rPr>
          <w:snapToGrid/>
          <w:sz w:val="20"/>
          <w:lang w:val="en-GB" w:eastAsia="en-GB"/>
        </w:rPr>
        <w:t>could</w:t>
      </w:r>
      <w:r w:rsidRPr="00973F42">
        <w:rPr>
          <w:snapToGrid/>
          <w:sz w:val="20"/>
          <w:lang w:val="en-GB" w:eastAsia="en-GB"/>
        </w:rPr>
        <w:t xml:space="preserve"> also invest in other funds (including those managed by Aberdeen Standard Investments) and money-market instruments and cash.</w:t>
      </w:r>
    </w:p>
    <w:p w14:paraId="7BB9B6D2" w14:textId="77777777" w:rsidR="00B254E5" w:rsidRPr="00973F42" w:rsidRDefault="00B254E5" w:rsidP="0002588A">
      <w:pPr>
        <w:widowControl/>
        <w:autoSpaceDE w:val="0"/>
        <w:autoSpaceDN w:val="0"/>
        <w:adjustRightInd w:val="0"/>
        <w:jc w:val="both"/>
        <w:rPr>
          <w:snapToGrid/>
          <w:sz w:val="20"/>
          <w:lang w:val="en-GB" w:eastAsia="en-GB"/>
        </w:rPr>
      </w:pPr>
    </w:p>
    <w:p w14:paraId="3ACF46A5" w14:textId="3E755CA9" w:rsidR="008C7DB7" w:rsidRPr="00973F42" w:rsidRDefault="00EE2F72" w:rsidP="0002588A">
      <w:pPr>
        <w:pStyle w:val="BodyText2"/>
        <w:rPr>
          <w:b/>
          <w:sz w:val="20"/>
        </w:rPr>
      </w:pPr>
      <w:r w:rsidRPr="00973F42">
        <w:rPr>
          <w:snapToGrid/>
          <w:sz w:val="20"/>
          <w:lang w:eastAsia="en-GB"/>
        </w:rPr>
        <w:t xml:space="preserve">The Fund </w:t>
      </w:r>
      <w:r w:rsidR="007004F8" w:rsidRPr="00973F42">
        <w:rPr>
          <w:snapToGrid/>
          <w:sz w:val="20"/>
          <w:lang w:eastAsia="en-GB"/>
        </w:rPr>
        <w:t>was</w:t>
      </w:r>
      <w:r w:rsidRPr="00973F42">
        <w:rPr>
          <w:snapToGrid/>
          <w:sz w:val="20"/>
          <w:lang w:eastAsia="en-GB"/>
        </w:rPr>
        <w:t xml:space="preserve"> actively managed to identify bonds and derivatives after analysing company's prospects and creditworthiness alongside global economic and market conditions. In seeking to achieve the Performance Target, the </w:t>
      </w:r>
      <w:proofErr w:type="spellStart"/>
      <w:r w:rsidRPr="00973F42">
        <w:rPr>
          <w:snapToGrid/>
          <w:sz w:val="20"/>
          <w:lang w:eastAsia="en-GB"/>
        </w:rPr>
        <w:t>iBoxx</w:t>
      </w:r>
      <w:proofErr w:type="spellEnd"/>
      <w:r w:rsidRPr="00973F42">
        <w:rPr>
          <w:snapToGrid/>
          <w:sz w:val="20"/>
          <w:lang w:eastAsia="en-GB"/>
        </w:rPr>
        <w:t xml:space="preserve"> Sterling Collateralized &amp; Corporates (1-10 year) Index </w:t>
      </w:r>
      <w:r w:rsidR="007004F8" w:rsidRPr="00973F42">
        <w:rPr>
          <w:snapToGrid/>
          <w:sz w:val="20"/>
          <w:lang w:eastAsia="en-GB"/>
        </w:rPr>
        <w:t>was</w:t>
      </w:r>
      <w:r w:rsidRPr="00973F42">
        <w:rPr>
          <w:snapToGrid/>
          <w:sz w:val="20"/>
          <w:lang w:eastAsia="en-GB"/>
        </w:rPr>
        <w:t xml:space="preserve"> used as a reference point for portfolio construction and as a basis for setting risk constraints. The Fund </w:t>
      </w:r>
      <w:proofErr w:type="spellStart"/>
      <w:r w:rsidRPr="00973F42">
        <w:rPr>
          <w:snapToGrid/>
          <w:sz w:val="20"/>
          <w:lang w:eastAsia="en-GB"/>
        </w:rPr>
        <w:t>seek</w:t>
      </w:r>
      <w:r w:rsidR="007004F8" w:rsidRPr="00973F42">
        <w:rPr>
          <w:snapToGrid/>
          <w:sz w:val="20"/>
          <w:lang w:eastAsia="en-GB"/>
        </w:rPr>
        <w:t>ed</w:t>
      </w:r>
      <w:proofErr w:type="spellEnd"/>
      <w:r w:rsidRPr="00973F42">
        <w:rPr>
          <w:snapToGrid/>
          <w:sz w:val="20"/>
          <w:lang w:eastAsia="en-GB"/>
        </w:rPr>
        <w:t xml:space="preserve"> to reduce the risk of significant changes in the value of the fund compared to the index. The potential change in value of the Fund (as measured by expected volatility) </w:t>
      </w:r>
      <w:r w:rsidR="003A06C0" w:rsidRPr="00973F42">
        <w:rPr>
          <w:snapToGrid/>
          <w:sz w:val="20"/>
          <w:lang w:eastAsia="en-GB"/>
        </w:rPr>
        <w:t>wa</w:t>
      </w:r>
      <w:r w:rsidRPr="00973F42">
        <w:rPr>
          <w:snapToGrid/>
          <w:sz w:val="20"/>
          <w:lang w:eastAsia="en-GB"/>
        </w:rPr>
        <w:t>s not ordinarily expected to exceed 150% of the potential change in value of the index. The Fund ma</w:t>
      </w:r>
      <w:r w:rsidR="003A06C0" w:rsidRPr="00973F42">
        <w:rPr>
          <w:snapToGrid/>
          <w:sz w:val="20"/>
          <w:lang w:eastAsia="en-GB"/>
        </w:rPr>
        <w:t>d</w:t>
      </w:r>
      <w:r w:rsidRPr="00973F42">
        <w:rPr>
          <w:snapToGrid/>
          <w:sz w:val="20"/>
          <w:lang w:eastAsia="en-GB"/>
        </w:rPr>
        <w:t xml:space="preserve">e routine use of derivatives to reduce risk, reduce cost and/ or generate extra income or growth consistent with the risk profile of the fund, </w:t>
      </w:r>
      <w:proofErr w:type="gramStart"/>
      <w:r w:rsidRPr="00973F42">
        <w:rPr>
          <w:snapToGrid/>
          <w:sz w:val="20"/>
          <w:lang w:eastAsia="en-GB"/>
        </w:rPr>
        <w:t>i.e.</w:t>
      </w:r>
      <w:proofErr w:type="gramEnd"/>
      <w:r w:rsidRPr="00973F42">
        <w:rPr>
          <w:snapToGrid/>
          <w:sz w:val="20"/>
          <w:lang w:eastAsia="en-GB"/>
        </w:rPr>
        <w:t xml:space="preserve"> efficient portfolio management. Derivatives can be used to generate growth, consistent with the Fund's risk profile, to create ‘long’ or ‘short’</w:t>
      </w:r>
    </w:p>
    <w:p w14:paraId="2BD9C610" w14:textId="2DBEBD62" w:rsidR="00FD2DBD" w:rsidRPr="00973F42" w:rsidRDefault="00FD2DBD" w:rsidP="0002588A">
      <w:pPr>
        <w:widowControl/>
        <w:autoSpaceDE w:val="0"/>
        <w:autoSpaceDN w:val="0"/>
        <w:adjustRightInd w:val="0"/>
        <w:jc w:val="both"/>
        <w:rPr>
          <w:snapToGrid/>
          <w:sz w:val="20"/>
          <w:lang w:val="en-GB" w:eastAsia="en-GB"/>
        </w:rPr>
      </w:pPr>
      <w:r w:rsidRPr="00973F42">
        <w:rPr>
          <w:snapToGrid/>
          <w:sz w:val="20"/>
          <w:lang w:val="en-GB" w:eastAsia="en-GB"/>
        </w:rPr>
        <w:t>positions. Derivatives include instruments used to manage expected changes in interest rates, inflation, currencies or creditworthiness of corporations or governments.</w:t>
      </w:r>
    </w:p>
    <w:p w14:paraId="097416CC" w14:textId="29197621" w:rsidR="00644D3F" w:rsidRPr="00973F42" w:rsidRDefault="00644D3F" w:rsidP="0002588A">
      <w:pPr>
        <w:widowControl/>
        <w:autoSpaceDE w:val="0"/>
        <w:autoSpaceDN w:val="0"/>
        <w:adjustRightInd w:val="0"/>
        <w:jc w:val="both"/>
        <w:rPr>
          <w:snapToGrid/>
          <w:sz w:val="20"/>
          <w:lang w:val="en-GB" w:eastAsia="en-GB"/>
        </w:rPr>
      </w:pPr>
    </w:p>
    <w:p w14:paraId="50D58DBA" w14:textId="38717CD9" w:rsidR="00A62672" w:rsidRPr="00973F42" w:rsidRDefault="005F119F" w:rsidP="0002588A">
      <w:pPr>
        <w:widowControl/>
        <w:autoSpaceDE w:val="0"/>
        <w:autoSpaceDN w:val="0"/>
        <w:adjustRightInd w:val="0"/>
        <w:jc w:val="both"/>
        <w:rPr>
          <w:snapToGrid/>
          <w:sz w:val="20"/>
          <w:lang w:val="en-GB" w:eastAsia="en-GB"/>
        </w:rPr>
      </w:pPr>
      <w:r w:rsidRPr="00973F42">
        <w:rPr>
          <w:snapToGrid/>
          <w:sz w:val="20"/>
          <w:lang w:val="en-GB" w:eastAsia="en-GB"/>
        </w:rPr>
        <w:t xml:space="preserve">During the reporting period </w:t>
      </w:r>
      <w:r w:rsidR="00A6660A" w:rsidRPr="00973F42">
        <w:rPr>
          <w:snapToGrid/>
          <w:sz w:val="20"/>
          <w:lang w:val="en-GB" w:eastAsia="en-GB"/>
        </w:rPr>
        <w:t xml:space="preserve">the investment strategy </w:t>
      </w:r>
      <w:r w:rsidR="00E416B4" w:rsidRPr="00973F42">
        <w:rPr>
          <w:snapToGrid/>
          <w:sz w:val="20"/>
          <w:lang w:val="en-GB" w:eastAsia="en-GB"/>
        </w:rPr>
        <w:t xml:space="preserve">followed by the </w:t>
      </w:r>
      <w:r w:rsidR="00E416B4" w:rsidRPr="00973F42">
        <w:rPr>
          <w:rFonts w:eastAsia="Arial Narrow"/>
          <w:color w:val="0A090E"/>
          <w:sz w:val="20"/>
        </w:rPr>
        <w:t xml:space="preserve">Aberdeen Sterling Opportunistic Corporate Bond </w:t>
      </w:r>
      <w:r w:rsidR="00E416B4" w:rsidRPr="00973F42">
        <w:rPr>
          <w:rFonts w:eastAsia="Tahoma"/>
          <w:color w:val="0A090E"/>
          <w:sz w:val="20"/>
        </w:rPr>
        <w:t>Fund</w:t>
      </w:r>
      <w:r w:rsidR="000C7015" w:rsidRPr="00973F42">
        <w:rPr>
          <w:rFonts w:eastAsia="Tahoma"/>
          <w:color w:val="0A090E"/>
          <w:sz w:val="20"/>
        </w:rPr>
        <w:t xml:space="preserve"> was consistent with the Trustees’ investment objectives</w:t>
      </w:r>
      <w:r w:rsidR="00FA4038" w:rsidRPr="00973F42">
        <w:rPr>
          <w:rFonts w:eastAsia="Tahoma"/>
          <w:color w:val="0A090E"/>
          <w:sz w:val="20"/>
        </w:rPr>
        <w:t xml:space="preserve"> </w:t>
      </w:r>
      <w:r w:rsidR="006A4F40" w:rsidRPr="00973F42">
        <w:rPr>
          <w:rFonts w:eastAsia="Tahoma"/>
          <w:color w:val="0A090E"/>
          <w:sz w:val="20"/>
        </w:rPr>
        <w:t>and</w:t>
      </w:r>
      <w:r w:rsidR="003338A6" w:rsidRPr="00973F42">
        <w:rPr>
          <w:rFonts w:eastAsia="Tahoma"/>
          <w:color w:val="0A090E"/>
          <w:sz w:val="20"/>
        </w:rPr>
        <w:t xml:space="preserve"> </w:t>
      </w:r>
      <w:r w:rsidR="00A827E2" w:rsidRPr="00973F42">
        <w:rPr>
          <w:rFonts w:eastAsia="Tahoma"/>
          <w:color w:val="0A090E"/>
          <w:sz w:val="20"/>
        </w:rPr>
        <w:t xml:space="preserve">the </w:t>
      </w:r>
      <w:r w:rsidR="001314C8" w:rsidRPr="00973F42">
        <w:rPr>
          <w:rFonts w:eastAsia="Tahoma"/>
          <w:color w:val="0A090E"/>
          <w:sz w:val="20"/>
        </w:rPr>
        <w:t>Environmental, Social and Corporate Gove</w:t>
      </w:r>
      <w:r w:rsidR="00633841" w:rsidRPr="00973F42">
        <w:rPr>
          <w:rFonts w:eastAsia="Tahoma"/>
          <w:color w:val="0A090E"/>
          <w:sz w:val="20"/>
        </w:rPr>
        <w:t>r</w:t>
      </w:r>
      <w:r w:rsidR="001314C8" w:rsidRPr="00973F42">
        <w:rPr>
          <w:rFonts w:eastAsia="Tahoma"/>
          <w:color w:val="0A090E"/>
          <w:sz w:val="20"/>
        </w:rPr>
        <w:t xml:space="preserve">nance </w:t>
      </w:r>
      <w:r w:rsidR="00434690" w:rsidRPr="00973F42">
        <w:rPr>
          <w:rFonts w:eastAsia="Tahoma"/>
          <w:color w:val="0A090E"/>
          <w:sz w:val="20"/>
        </w:rPr>
        <w:t xml:space="preserve">(‘ESG’) considerations </w:t>
      </w:r>
      <w:r w:rsidR="00432E7D" w:rsidRPr="00973F42">
        <w:rPr>
          <w:rFonts w:eastAsia="Tahoma"/>
          <w:color w:val="0A090E"/>
          <w:sz w:val="20"/>
        </w:rPr>
        <w:t>as</w:t>
      </w:r>
      <w:r w:rsidR="000E1475" w:rsidRPr="00973F42">
        <w:rPr>
          <w:rFonts w:eastAsia="Tahoma"/>
          <w:color w:val="0A090E"/>
          <w:sz w:val="20"/>
        </w:rPr>
        <w:t xml:space="preserve"> now </w:t>
      </w:r>
      <w:r w:rsidR="00FA4038" w:rsidRPr="00973F42">
        <w:rPr>
          <w:rFonts w:eastAsia="Tahoma"/>
          <w:color w:val="0A090E"/>
          <w:sz w:val="20"/>
        </w:rPr>
        <w:t xml:space="preserve">set out in the </w:t>
      </w:r>
      <w:r w:rsidR="00FA4038" w:rsidRPr="00973F42">
        <w:rPr>
          <w:color w:val="000000"/>
          <w:sz w:val="20"/>
          <w:lang w:val="en-GB"/>
        </w:rPr>
        <w:t>Statement of Investment Principles dated XXXXX</w:t>
      </w:r>
      <w:r w:rsidR="001E4072" w:rsidRPr="00973F42">
        <w:rPr>
          <w:color w:val="000000"/>
          <w:sz w:val="20"/>
          <w:lang w:val="en-GB"/>
        </w:rPr>
        <w:t>.</w:t>
      </w:r>
      <w:r w:rsidR="000B2AFD" w:rsidRPr="00973F42">
        <w:rPr>
          <w:color w:val="000000"/>
          <w:sz w:val="20"/>
          <w:lang w:val="en-GB"/>
        </w:rPr>
        <w:t xml:space="preserve">  </w:t>
      </w:r>
      <w:r w:rsidR="003A2FC7" w:rsidRPr="00973F42">
        <w:rPr>
          <w:color w:val="000000"/>
          <w:sz w:val="20"/>
          <w:lang w:val="en-GB"/>
        </w:rPr>
        <w:t xml:space="preserve">As the Trustees invest in pooled fund arrangements </w:t>
      </w:r>
      <w:r w:rsidR="00C70905" w:rsidRPr="00973F42">
        <w:rPr>
          <w:color w:val="000000"/>
          <w:sz w:val="20"/>
          <w:lang w:val="en-GB"/>
        </w:rPr>
        <w:t>they have given their investment man</w:t>
      </w:r>
      <w:r w:rsidR="00B1519C" w:rsidRPr="00973F42">
        <w:rPr>
          <w:color w:val="000000"/>
          <w:sz w:val="20"/>
          <w:lang w:val="en-GB"/>
        </w:rPr>
        <w:t>a</w:t>
      </w:r>
      <w:r w:rsidR="00C70905" w:rsidRPr="00973F42">
        <w:rPr>
          <w:color w:val="000000"/>
          <w:sz w:val="20"/>
          <w:lang w:val="en-GB"/>
        </w:rPr>
        <w:t xml:space="preserve">gers </w:t>
      </w:r>
      <w:r w:rsidR="00B1519C" w:rsidRPr="00973F42">
        <w:rPr>
          <w:color w:val="000000"/>
          <w:sz w:val="20"/>
          <w:lang w:val="en-GB"/>
        </w:rPr>
        <w:t xml:space="preserve">full discretion in evaluating </w:t>
      </w:r>
      <w:r w:rsidR="008B6778" w:rsidRPr="00973F42">
        <w:rPr>
          <w:color w:val="000000"/>
          <w:sz w:val="20"/>
          <w:lang w:val="en-GB"/>
        </w:rPr>
        <w:t xml:space="preserve">ESG factors </w:t>
      </w:r>
      <w:r w:rsidR="009D5FA8" w:rsidRPr="00973F42">
        <w:rPr>
          <w:color w:val="000000"/>
          <w:sz w:val="20"/>
          <w:lang w:val="en-GB"/>
        </w:rPr>
        <w:t>and in the exercise of stewardship obligations.</w:t>
      </w:r>
      <w:r w:rsidR="002E5BDC" w:rsidRPr="00973F42">
        <w:rPr>
          <w:color w:val="000000"/>
          <w:sz w:val="20"/>
          <w:lang w:val="en-GB"/>
        </w:rPr>
        <w:t xml:space="preserve">  In part</w:t>
      </w:r>
      <w:r w:rsidR="003B7ECB" w:rsidRPr="00973F42">
        <w:rPr>
          <w:color w:val="000000"/>
          <w:sz w:val="20"/>
          <w:lang w:val="en-GB"/>
        </w:rPr>
        <w:t xml:space="preserve">icular, Aberdeen Standard Investments have stated that </w:t>
      </w:r>
      <w:r w:rsidR="0005502F" w:rsidRPr="00973F42">
        <w:rPr>
          <w:color w:val="000000"/>
          <w:sz w:val="20"/>
          <w:lang w:val="en-GB"/>
        </w:rPr>
        <w:t>ESG is a strategic priority for them</w:t>
      </w:r>
      <w:r w:rsidR="007067AA" w:rsidRPr="00973F42">
        <w:rPr>
          <w:color w:val="000000"/>
          <w:sz w:val="20"/>
          <w:lang w:val="en-GB"/>
        </w:rPr>
        <w:t xml:space="preserve"> and that </w:t>
      </w:r>
      <w:r w:rsidR="003E291D" w:rsidRPr="00973F42">
        <w:rPr>
          <w:color w:val="000000"/>
          <w:sz w:val="20"/>
          <w:lang w:val="en-GB"/>
        </w:rPr>
        <w:t xml:space="preserve">ESG considerations are a standard part of their investment process.  </w:t>
      </w:r>
      <w:r w:rsidR="00635597" w:rsidRPr="00973F42">
        <w:rPr>
          <w:color w:val="000000"/>
          <w:sz w:val="20"/>
          <w:lang w:val="en-GB"/>
        </w:rPr>
        <w:t>T</w:t>
      </w:r>
      <w:r w:rsidR="007067AA" w:rsidRPr="00973F42">
        <w:rPr>
          <w:color w:val="000000"/>
          <w:sz w:val="20"/>
          <w:lang w:val="en-GB"/>
        </w:rPr>
        <w:t xml:space="preserve">heir mission </w:t>
      </w:r>
      <w:r w:rsidR="00F40E95" w:rsidRPr="00973F42">
        <w:rPr>
          <w:color w:val="000000"/>
          <w:sz w:val="20"/>
          <w:lang w:val="en-GB"/>
        </w:rPr>
        <w:t xml:space="preserve">is ‘To be an industry leader in ESG, helping to protect and enhance the value of </w:t>
      </w:r>
      <w:r w:rsidR="00211455" w:rsidRPr="00973F42">
        <w:rPr>
          <w:color w:val="000000"/>
          <w:sz w:val="20"/>
          <w:lang w:val="en-GB"/>
        </w:rPr>
        <w:t xml:space="preserve">their </w:t>
      </w:r>
      <w:r w:rsidR="00F40E95" w:rsidRPr="00973F42">
        <w:rPr>
          <w:color w:val="000000"/>
          <w:sz w:val="20"/>
          <w:lang w:val="en-GB"/>
        </w:rPr>
        <w:t>clients’</w:t>
      </w:r>
      <w:r w:rsidR="00211455" w:rsidRPr="00973F42">
        <w:rPr>
          <w:color w:val="000000"/>
          <w:sz w:val="20"/>
          <w:lang w:val="en-GB"/>
        </w:rPr>
        <w:t xml:space="preserve"> </w:t>
      </w:r>
      <w:r w:rsidR="00F40E95" w:rsidRPr="00973F42">
        <w:rPr>
          <w:color w:val="000000"/>
          <w:sz w:val="20"/>
          <w:lang w:val="en-GB"/>
        </w:rPr>
        <w:t>investments while contributing to a sustainable world’.</w:t>
      </w:r>
      <w:r w:rsidR="00501A70" w:rsidRPr="00973F42">
        <w:rPr>
          <w:color w:val="000000"/>
          <w:sz w:val="20"/>
          <w:lang w:val="en-GB"/>
        </w:rPr>
        <w:t xml:space="preserve">  </w:t>
      </w:r>
      <w:r w:rsidR="00F82E1A" w:rsidRPr="00973F42">
        <w:rPr>
          <w:color w:val="000000"/>
          <w:sz w:val="20"/>
          <w:lang w:val="en-GB"/>
        </w:rPr>
        <w:t xml:space="preserve">We understand that </w:t>
      </w:r>
      <w:r w:rsidR="0066299C" w:rsidRPr="00973F42">
        <w:rPr>
          <w:color w:val="000000"/>
          <w:sz w:val="20"/>
          <w:lang w:val="en-GB"/>
        </w:rPr>
        <w:t xml:space="preserve">Aberdeen Standard Investments </w:t>
      </w:r>
      <w:r w:rsidR="004C526E" w:rsidRPr="00973F42">
        <w:rPr>
          <w:color w:val="000000"/>
          <w:sz w:val="20"/>
          <w:lang w:val="en-GB"/>
        </w:rPr>
        <w:t xml:space="preserve">have an active ESG investment team </w:t>
      </w:r>
      <w:r w:rsidR="002772EE" w:rsidRPr="00973F42">
        <w:rPr>
          <w:color w:val="000000"/>
          <w:sz w:val="20"/>
          <w:lang w:val="en-GB"/>
        </w:rPr>
        <w:t>who engage with investee companies on environmental, social and governance topics</w:t>
      </w:r>
      <w:r w:rsidR="00537872" w:rsidRPr="00973F42">
        <w:rPr>
          <w:color w:val="000000"/>
          <w:sz w:val="20"/>
          <w:lang w:val="en-GB"/>
        </w:rPr>
        <w:t xml:space="preserve"> and </w:t>
      </w:r>
      <w:r w:rsidR="00753DD4" w:rsidRPr="00973F42">
        <w:rPr>
          <w:color w:val="000000"/>
          <w:sz w:val="20"/>
          <w:lang w:val="en-GB"/>
        </w:rPr>
        <w:t>in exercising stewardship</w:t>
      </w:r>
      <w:r w:rsidR="00537872" w:rsidRPr="00973F42">
        <w:rPr>
          <w:color w:val="000000"/>
          <w:sz w:val="20"/>
          <w:lang w:val="en-GB"/>
        </w:rPr>
        <w:t xml:space="preserve"> they routinely engage with companies on matters subject to a shareholder vote</w:t>
      </w:r>
      <w:r w:rsidR="00753DD4" w:rsidRPr="00973F42">
        <w:rPr>
          <w:color w:val="000000"/>
          <w:sz w:val="20"/>
          <w:lang w:val="en-GB"/>
        </w:rPr>
        <w:t>.</w:t>
      </w:r>
      <w:r w:rsidR="003E7DA9" w:rsidRPr="00973F42">
        <w:rPr>
          <w:color w:val="000000"/>
          <w:sz w:val="20"/>
          <w:lang w:val="en-GB"/>
        </w:rPr>
        <w:t xml:space="preserve"> </w:t>
      </w:r>
    </w:p>
    <w:p w14:paraId="5BFF4B54" w14:textId="6BF9B0B3" w:rsidR="00A62672" w:rsidRPr="00973F42" w:rsidRDefault="00A62672" w:rsidP="0002588A">
      <w:pPr>
        <w:widowControl/>
        <w:autoSpaceDE w:val="0"/>
        <w:autoSpaceDN w:val="0"/>
        <w:adjustRightInd w:val="0"/>
        <w:jc w:val="both"/>
        <w:rPr>
          <w:snapToGrid/>
          <w:sz w:val="20"/>
          <w:lang w:val="en-GB" w:eastAsia="en-GB"/>
        </w:rPr>
      </w:pPr>
    </w:p>
    <w:p w14:paraId="119E6CB4" w14:textId="259BBA01" w:rsidR="00644D3F" w:rsidRPr="00973F42" w:rsidRDefault="001E3BE9" w:rsidP="0002588A">
      <w:pPr>
        <w:widowControl/>
        <w:autoSpaceDE w:val="0"/>
        <w:autoSpaceDN w:val="0"/>
        <w:adjustRightInd w:val="0"/>
        <w:jc w:val="both"/>
        <w:rPr>
          <w:rFonts w:eastAsia="Arial Narrow"/>
          <w:color w:val="0A090E"/>
          <w:sz w:val="20"/>
        </w:rPr>
      </w:pPr>
      <w:r w:rsidRPr="00973F42">
        <w:rPr>
          <w:snapToGrid/>
          <w:sz w:val="20"/>
          <w:lang w:val="en-GB" w:eastAsia="en-GB"/>
        </w:rPr>
        <w:t xml:space="preserve">The Trustees </w:t>
      </w:r>
      <w:r w:rsidR="00CE60EE" w:rsidRPr="00973F42">
        <w:rPr>
          <w:snapToGrid/>
          <w:sz w:val="20"/>
          <w:lang w:val="en-GB" w:eastAsia="en-GB"/>
        </w:rPr>
        <w:t xml:space="preserve">reviewed their investment strategy </w:t>
      </w:r>
      <w:r w:rsidR="00F35190" w:rsidRPr="00973F42">
        <w:rPr>
          <w:snapToGrid/>
          <w:sz w:val="20"/>
          <w:lang w:val="en-GB" w:eastAsia="en-GB"/>
        </w:rPr>
        <w:t xml:space="preserve">following </w:t>
      </w:r>
      <w:r w:rsidR="00C34D61" w:rsidRPr="00973F42">
        <w:rPr>
          <w:snapToGrid/>
          <w:sz w:val="20"/>
          <w:lang w:val="en-GB" w:eastAsia="en-GB"/>
        </w:rPr>
        <w:t xml:space="preserve">a report from their investment adviser dated 2 October 2020.  </w:t>
      </w:r>
      <w:r w:rsidR="00752F1A" w:rsidRPr="00973F42">
        <w:rPr>
          <w:snapToGrid/>
          <w:sz w:val="20"/>
          <w:lang w:val="en-GB" w:eastAsia="en-GB"/>
        </w:rPr>
        <w:t>Subsequently and c</w:t>
      </w:r>
      <w:r w:rsidR="00644D3F" w:rsidRPr="00973F42">
        <w:rPr>
          <w:snapToGrid/>
          <w:sz w:val="20"/>
          <w:lang w:val="en-GB" w:eastAsia="en-GB"/>
        </w:rPr>
        <w:t xml:space="preserve">onsequent to the discontinuance of the </w:t>
      </w:r>
      <w:r w:rsidR="00644D3F" w:rsidRPr="00973F42">
        <w:rPr>
          <w:rFonts w:eastAsia="Arial Narrow"/>
          <w:color w:val="0A090E"/>
          <w:sz w:val="20"/>
        </w:rPr>
        <w:t xml:space="preserve">Aberdeen Sterling Opportunistic Corporate Bond </w:t>
      </w:r>
      <w:r w:rsidR="00644D3F" w:rsidRPr="00973F42">
        <w:rPr>
          <w:rFonts w:eastAsia="Tahoma"/>
          <w:color w:val="0A090E"/>
          <w:sz w:val="20"/>
        </w:rPr>
        <w:t xml:space="preserve">Fund, the units invested in this Fund were liquidated on 6 October 2020 and the proceeds invested 70% in the </w:t>
      </w:r>
      <w:r w:rsidR="00644D3F" w:rsidRPr="00973F42">
        <w:rPr>
          <w:rFonts w:eastAsia="Arial Narrow"/>
          <w:color w:val="0A090E"/>
          <w:sz w:val="20"/>
        </w:rPr>
        <w:t>Aberdeen Sterling Investments Strategic Bond Fund and 30% in the Aberdeen Sterling Investments Corporate Bond Fund.</w:t>
      </w:r>
      <w:r w:rsidR="00644D3F" w:rsidRPr="00973F42">
        <w:rPr>
          <w:snapToGrid/>
          <w:sz w:val="20"/>
          <w:lang w:val="en-GB" w:eastAsia="en-GB"/>
        </w:rPr>
        <w:t xml:space="preserve">  </w:t>
      </w:r>
      <w:r w:rsidR="00B328A6" w:rsidRPr="00973F42">
        <w:rPr>
          <w:snapToGrid/>
          <w:sz w:val="20"/>
          <w:lang w:val="en-GB" w:eastAsia="en-GB"/>
        </w:rPr>
        <w:t xml:space="preserve">The Trustees considered </w:t>
      </w:r>
      <w:r w:rsidR="007058C5" w:rsidRPr="00973F42">
        <w:rPr>
          <w:snapToGrid/>
          <w:sz w:val="20"/>
          <w:lang w:val="en-GB" w:eastAsia="en-GB"/>
        </w:rPr>
        <w:t>a further report f</w:t>
      </w:r>
      <w:r w:rsidR="00BB7A83" w:rsidRPr="00973F42">
        <w:rPr>
          <w:snapToGrid/>
          <w:sz w:val="20"/>
          <w:lang w:val="en-GB" w:eastAsia="en-GB"/>
        </w:rPr>
        <w:t>r</w:t>
      </w:r>
      <w:r w:rsidR="007058C5" w:rsidRPr="00973F42">
        <w:rPr>
          <w:snapToGrid/>
          <w:sz w:val="20"/>
          <w:lang w:val="en-GB" w:eastAsia="en-GB"/>
        </w:rPr>
        <w:t xml:space="preserve">om their investment adviser dated 16 March 2021 </w:t>
      </w:r>
      <w:r w:rsidR="00BB7A83" w:rsidRPr="00973F42">
        <w:rPr>
          <w:snapToGrid/>
          <w:sz w:val="20"/>
          <w:lang w:val="en-GB" w:eastAsia="en-GB"/>
        </w:rPr>
        <w:t xml:space="preserve">and </w:t>
      </w:r>
      <w:r w:rsidR="00486C78" w:rsidRPr="00973F42">
        <w:rPr>
          <w:snapToGrid/>
          <w:sz w:val="20"/>
          <w:lang w:val="en-GB" w:eastAsia="en-GB"/>
        </w:rPr>
        <w:t>con</w:t>
      </w:r>
      <w:r w:rsidR="00644D3F" w:rsidRPr="00973F42">
        <w:rPr>
          <w:snapToGrid/>
          <w:sz w:val="20"/>
          <w:lang w:val="en-GB" w:eastAsia="en-GB"/>
        </w:rPr>
        <w:t>sequent</w:t>
      </w:r>
      <w:r w:rsidR="001E2562" w:rsidRPr="00973F42">
        <w:rPr>
          <w:snapToGrid/>
          <w:sz w:val="20"/>
          <w:lang w:val="en-GB" w:eastAsia="en-GB"/>
        </w:rPr>
        <w:t>ial</w:t>
      </w:r>
      <w:r w:rsidR="00644D3F" w:rsidRPr="00973F42">
        <w:rPr>
          <w:snapToGrid/>
          <w:sz w:val="20"/>
          <w:lang w:val="en-GB" w:eastAsia="en-GB"/>
        </w:rPr>
        <w:t xml:space="preserve">ly on 18 March 2021 the investment in the </w:t>
      </w:r>
      <w:r w:rsidR="00644D3F" w:rsidRPr="00973F42">
        <w:rPr>
          <w:rFonts w:eastAsia="Arial Narrow"/>
          <w:color w:val="0A090E"/>
          <w:sz w:val="20"/>
        </w:rPr>
        <w:t>Aberdeen Sterling Investments Corporate Bond Fund was liquidated and switched into the Aberdeen Sterling Investments Sterling Short Dated Corporate Bond Fund.</w:t>
      </w:r>
    </w:p>
    <w:p w14:paraId="4F5F460D" w14:textId="150F2F2D" w:rsidR="00C16802" w:rsidRPr="00973F42" w:rsidRDefault="00C16802" w:rsidP="0002588A">
      <w:pPr>
        <w:pStyle w:val="BodyText2"/>
        <w:rPr>
          <w:b/>
          <w:sz w:val="20"/>
          <w:lang w:val="en-US"/>
        </w:rPr>
      </w:pPr>
    </w:p>
    <w:p w14:paraId="7F233850" w14:textId="36FE54BD" w:rsidR="00C07E75" w:rsidRPr="00973F42" w:rsidRDefault="00C07E75" w:rsidP="0002588A">
      <w:pPr>
        <w:spacing w:after="120"/>
        <w:jc w:val="both"/>
        <w:textAlignment w:val="baseline"/>
        <w:rPr>
          <w:rFonts w:eastAsia="Arial Narrow"/>
          <w:b/>
          <w:color w:val="0A090E"/>
          <w:spacing w:val="7"/>
          <w:sz w:val="20"/>
        </w:rPr>
      </w:pPr>
      <w:r w:rsidRPr="00973F42">
        <w:rPr>
          <w:rFonts w:eastAsia="Arial Narrow"/>
          <w:b/>
          <w:color w:val="0A090E"/>
          <w:spacing w:val="7"/>
          <w:sz w:val="20"/>
        </w:rPr>
        <w:t>Market review</w:t>
      </w:r>
    </w:p>
    <w:p w14:paraId="480E5830" w14:textId="3D061149" w:rsidR="00944641" w:rsidRPr="00973F42" w:rsidRDefault="00100771" w:rsidP="00E20B80">
      <w:pPr>
        <w:spacing w:after="180"/>
        <w:jc w:val="both"/>
        <w:textAlignment w:val="baseline"/>
        <w:rPr>
          <w:sz w:val="20"/>
        </w:rPr>
      </w:pPr>
      <w:r w:rsidRPr="00973F42">
        <w:rPr>
          <w:sz w:val="20"/>
        </w:rPr>
        <w:t>During late 2019, political and economic concerns relating to Brexit, the US-China trade dispute and global growth dominated investor sentiment.  Central bank actions also played a role, helping markets end 2019 on an upbeat note.</w:t>
      </w:r>
      <w:r w:rsidR="006E1FA5" w:rsidRPr="00973F42">
        <w:rPr>
          <w:sz w:val="20"/>
        </w:rPr>
        <w:t xml:space="preserve"> </w:t>
      </w:r>
      <w:r w:rsidR="00A02948" w:rsidRPr="00973F42">
        <w:rPr>
          <w:sz w:val="20"/>
        </w:rPr>
        <w:t>Optimism</w:t>
      </w:r>
      <w:r w:rsidRPr="00973F42">
        <w:rPr>
          <w:sz w:val="20"/>
        </w:rPr>
        <w:t xml:space="preserve"> continued into January 2020</w:t>
      </w:r>
      <w:r w:rsidR="00E55B2E" w:rsidRPr="00973F42">
        <w:rPr>
          <w:sz w:val="20"/>
        </w:rPr>
        <w:t xml:space="preserve"> as global economic data pick</w:t>
      </w:r>
      <w:r w:rsidR="001C6763" w:rsidRPr="00973F42">
        <w:rPr>
          <w:sz w:val="20"/>
        </w:rPr>
        <w:t>ed</w:t>
      </w:r>
      <w:r w:rsidR="00E55B2E" w:rsidRPr="00973F42">
        <w:rPr>
          <w:sz w:val="20"/>
        </w:rPr>
        <w:t xml:space="preserve"> up modestly and a ‘phase-one’ trade deal between the US and China was agreed. Global central banks maintain</w:t>
      </w:r>
      <w:r w:rsidR="00631AD1" w:rsidRPr="00973F42">
        <w:rPr>
          <w:sz w:val="20"/>
        </w:rPr>
        <w:t>ed</w:t>
      </w:r>
      <w:r w:rsidR="00E55B2E" w:rsidRPr="00973F42">
        <w:rPr>
          <w:sz w:val="20"/>
        </w:rPr>
        <w:t xml:space="preserve"> their accommodative stances providing further confidence.</w:t>
      </w:r>
    </w:p>
    <w:p w14:paraId="5F9BDF43" w14:textId="77777777" w:rsidR="000E2A98" w:rsidRPr="00973F42" w:rsidRDefault="00100771" w:rsidP="00E20B80">
      <w:pPr>
        <w:spacing w:after="180"/>
        <w:jc w:val="both"/>
        <w:textAlignment w:val="baseline"/>
        <w:rPr>
          <w:sz w:val="20"/>
        </w:rPr>
      </w:pPr>
      <w:r w:rsidRPr="00973F42">
        <w:rPr>
          <w:sz w:val="20"/>
        </w:rPr>
        <w:t>However, the mood changed after the coronavirus that started in China evolved into a global pandemic. Drastic lockdown measures introduced by governments to contain the spread of the virus all but crippled the global economy</w:t>
      </w:r>
      <w:r w:rsidR="00597F68" w:rsidRPr="00973F42">
        <w:rPr>
          <w:sz w:val="20"/>
        </w:rPr>
        <w:t xml:space="preserve"> and</w:t>
      </w:r>
      <w:r w:rsidRPr="00973F42">
        <w:rPr>
          <w:sz w:val="20"/>
        </w:rPr>
        <w:t xml:space="preserve"> a Russia-Saudi Arabia oil price war sent oil prices plummeting. Panicked investors dumped riskier asset classes like equities and corporate bonds for the relative safety of government bonds, pushing yields even lower.</w:t>
      </w:r>
    </w:p>
    <w:p w14:paraId="50CE4DF6" w14:textId="77777777" w:rsidR="000E0871" w:rsidRPr="00973F42" w:rsidRDefault="00885893" w:rsidP="000E0871">
      <w:pPr>
        <w:jc w:val="both"/>
        <w:textAlignment w:val="baseline"/>
        <w:rPr>
          <w:sz w:val="20"/>
        </w:rPr>
      </w:pPr>
      <w:r w:rsidRPr="00973F42">
        <w:rPr>
          <w:sz w:val="20"/>
        </w:rPr>
        <w:t>Governments and central banks were swift to respond to the economic crisis, introducing aggressive stimulus and support packages for businesses and consumers.  Many central banks, including the US Federal Reserve, slashed interest rates.  These actions boosted investor confidence.  As a result, from April onwards, equities and corporate bonds clawed back much of the ground lost, albeit in July, a resurfacing of US-China trade tensions tempered gains.  Huge government stimulus plans lifted investor confidence as did generous support from the Fed, and its decision to cut interest rates to near-zero.  Robust corporate earnings, especially from technology companies, also buoyed sentiment.</w:t>
      </w:r>
      <w:r w:rsidR="0064350E" w:rsidRPr="00973F42">
        <w:rPr>
          <w:sz w:val="20"/>
        </w:rPr>
        <w:t xml:space="preserve"> </w:t>
      </w:r>
      <w:r w:rsidR="000E0871" w:rsidRPr="00973F42">
        <w:rPr>
          <w:sz w:val="20"/>
        </w:rPr>
        <w:t>Investors are expecting a ‘V’-shaped economic recovery.  A typical pattern seen during recovery phases is unfolding with strong gains for equities.  Largely improving economic data and expectations for a viable coronavirus vaccine continues to support investor sentiment.</w:t>
      </w:r>
    </w:p>
    <w:p w14:paraId="441373E9" w14:textId="77777777" w:rsidR="00277C70" w:rsidRPr="00973F42" w:rsidRDefault="00277C70" w:rsidP="00277C70">
      <w:pPr>
        <w:pStyle w:val="BodyText2"/>
        <w:jc w:val="center"/>
        <w:rPr>
          <w:b/>
          <w:sz w:val="20"/>
        </w:rPr>
      </w:pPr>
      <w:r w:rsidRPr="00973F42">
        <w:rPr>
          <w:b/>
          <w:sz w:val="20"/>
        </w:rPr>
        <w:lastRenderedPageBreak/>
        <w:t>CELSIUS FIRST RETIREMENT BENEFITS SCHEME</w:t>
      </w:r>
    </w:p>
    <w:p w14:paraId="39527A40" w14:textId="77777777" w:rsidR="00277C70" w:rsidRPr="00973F42" w:rsidRDefault="00277C70" w:rsidP="00277C70">
      <w:pPr>
        <w:tabs>
          <w:tab w:val="center" w:pos="5233"/>
          <w:tab w:val="right" w:pos="6048"/>
          <w:tab w:val="right" w:pos="7488"/>
          <w:tab w:val="right" w:pos="8640"/>
          <w:tab w:val="right" w:pos="10080"/>
        </w:tabs>
        <w:jc w:val="center"/>
        <w:rPr>
          <w:b/>
          <w:color w:val="000000"/>
          <w:sz w:val="20"/>
          <w:lang w:val="en-GB"/>
        </w:rPr>
      </w:pPr>
    </w:p>
    <w:p w14:paraId="2C28C377" w14:textId="77777777" w:rsidR="00277C70" w:rsidRPr="00973F42" w:rsidRDefault="00277C70" w:rsidP="00277C70">
      <w:pPr>
        <w:tabs>
          <w:tab w:val="center" w:pos="5233"/>
          <w:tab w:val="right" w:pos="6048"/>
          <w:tab w:val="right" w:pos="7488"/>
          <w:tab w:val="right" w:pos="8640"/>
          <w:tab w:val="right" w:pos="10080"/>
        </w:tabs>
        <w:jc w:val="center"/>
        <w:rPr>
          <w:b/>
          <w:color w:val="000000"/>
          <w:sz w:val="20"/>
          <w:lang w:val="en-GB"/>
        </w:rPr>
      </w:pPr>
      <w:r w:rsidRPr="00973F42">
        <w:rPr>
          <w:b/>
          <w:color w:val="000000"/>
          <w:sz w:val="20"/>
          <w:lang w:val="en-GB"/>
        </w:rPr>
        <w:t>TRUSTEES' REPORT (continued)</w:t>
      </w:r>
    </w:p>
    <w:p w14:paraId="32DF7A62" w14:textId="77777777" w:rsidR="00277C70" w:rsidRPr="00973F42" w:rsidRDefault="00277C70" w:rsidP="00277C70">
      <w:pPr>
        <w:tabs>
          <w:tab w:val="center" w:pos="5233"/>
          <w:tab w:val="right" w:pos="6048"/>
          <w:tab w:val="right" w:pos="7488"/>
          <w:tab w:val="right" w:pos="8640"/>
          <w:tab w:val="right" w:pos="10080"/>
        </w:tabs>
        <w:jc w:val="center"/>
        <w:rPr>
          <w:b/>
          <w:color w:val="000000"/>
          <w:sz w:val="20"/>
          <w:lang w:val="en-GB"/>
        </w:rPr>
      </w:pPr>
      <w:r w:rsidRPr="00973F42">
        <w:rPr>
          <w:b/>
          <w:color w:val="000000"/>
          <w:sz w:val="20"/>
          <w:lang w:val="en-GB"/>
        </w:rPr>
        <w:t>30 SEPTEMBER 2020</w:t>
      </w:r>
    </w:p>
    <w:p w14:paraId="4266C663" w14:textId="77777777" w:rsidR="00277C70" w:rsidRPr="00973F42" w:rsidRDefault="00277C70" w:rsidP="00277C70">
      <w:pPr>
        <w:rPr>
          <w:sz w:val="20"/>
        </w:rPr>
      </w:pPr>
    </w:p>
    <w:p w14:paraId="7BD5940F" w14:textId="77777777" w:rsidR="00277C70" w:rsidRPr="00973F42" w:rsidRDefault="00277C70" w:rsidP="00BE6DB1">
      <w:pPr>
        <w:tabs>
          <w:tab w:val="left" w:pos="-720"/>
          <w:tab w:val="left" w:pos="0"/>
          <w:tab w:val="left" w:pos="2160"/>
          <w:tab w:val="right" w:pos="6048"/>
          <w:tab w:val="right" w:pos="7488"/>
          <w:tab w:val="right" w:pos="8640"/>
          <w:tab w:val="right" w:pos="10080"/>
        </w:tabs>
        <w:spacing w:after="240"/>
        <w:jc w:val="both"/>
        <w:rPr>
          <w:color w:val="000000"/>
          <w:sz w:val="20"/>
          <w:lang w:val="en-GB"/>
        </w:rPr>
      </w:pPr>
      <w:r w:rsidRPr="00973F42">
        <w:rPr>
          <w:b/>
          <w:color w:val="000000"/>
          <w:sz w:val="20"/>
          <w:lang w:val="en-GB"/>
        </w:rPr>
        <w:t>INVESTMENT REPORT - continued</w:t>
      </w:r>
    </w:p>
    <w:p w14:paraId="1A60E9A2" w14:textId="0C7B47DC" w:rsidR="00290EB1" w:rsidRPr="00973F42" w:rsidRDefault="00290EB1" w:rsidP="00111E54">
      <w:pPr>
        <w:jc w:val="both"/>
        <w:textAlignment w:val="baseline"/>
        <w:rPr>
          <w:rFonts w:eastAsia="Arial Narrow"/>
          <w:b/>
          <w:color w:val="0A090E"/>
          <w:spacing w:val="6"/>
          <w:sz w:val="20"/>
        </w:rPr>
      </w:pPr>
      <w:r w:rsidRPr="00973F42">
        <w:rPr>
          <w:rFonts w:eastAsia="Arial Narrow"/>
          <w:b/>
          <w:color w:val="0A090E"/>
          <w:spacing w:val="6"/>
          <w:sz w:val="20"/>
        </w:rPr>
        <w:t>Investment manager performance review</w:t>
      </w:r>
    </w:p>
    <w:p w14:paraId="70808BD3" w14:textId="77777777" w:rsidR="00111E54" w:rsidRPr="00973F42" w:rsidRDefault="00111E54" w:rsidP="00111E54">
      <w:pPr>
        <w:jc w:val="both"/>
        <w:textAlignment w:val="baseline"/>
        <w:rPr>
          <w:rFonts w:eastAsia="Arial Narrow"/>
          <w:b/>
          <w:color w:val="0A090E"/>
          <w:spacing w:val="6"/>
          <w:sz w:val="20"/>
        </w:rPr>
      </w:pPr>
    </w:p>
    <w:p w14:paraId="12EFBC7A" w14:textId="77777777" w:rsidR="00290EB1" w:rsidRPr="00973F42" w:rsidRDefault="00290EB1" w:rsidP="00782598">
      <w:pPr>
        <w:spacing w:after="180"/>
        <w:jc w:val="both"/>
        <w:textAlignment w:val="baseline"/>
        <w:rPr>
          <w:sz w:val="20"/>
        </w:rPr>
      </w:pPr>
      <w:r w:rsidRPr="00973F42">
        <w:rPr>
          <w:sz w:val="20"/>
        </w:rPr>
        <w:t xml:space="preserve">For the year to 30 September 2020, the value of the Aberdeen Sterling Opportunistic Corporate Bond Fund increased by 3.79% compared to an increase of 3.05% in the benchmark, the </w:t>
      </w:r>
      <w:proofErr w:type="spellStart"/>
      <w:r w:rsidRPr="00973F42">
        <w:rPr>
          <w:sz w:val="20"/>
        </w:rPr>
        <w:t>iBoxx</w:t>
      </w:r>
      <w:proofErr w:type="spellEnd"/>
      <w:r w:rsidRPr="00973F42">
        <w:rPr>
          <w:sz w:val="20"/>
        </w:rPr>
        <w:t xml:space="preserve"> Sterling Collateralized &amp; Corporates </w:t>
      </w:r>
      <w:proofErr w:type="gramStart"/>
      <w:r w:rsidRPr="00973F42">
        <w:rPr>
          <w:sz w:val="20"/>
        </w:rPr>
        <w:t>1-10 year</w:t>
      </w:r>
      <w:proofErr w:type="gramEnd"/>
      <w:r w:rsidRPr="00973F42">
        <w:rPr>
          <w:sz w:val="20"/>
        </w:rPr>
        <w:t xml:space="preserve"> Index. Over 3 years to 30 September 2020, the Aberdeen Sterling Opportunistic Corporate Bond Fund achieved a return of 3.32% p.a. compared to a benchmark return of 3.39% p.a. and over 5 years, 4.25% p.a. compared to a benchmark return of 4.21% p.a.</w:t>
      </w:r>
    </w:p>
    <w:p w14:paraId="4FDCBFA8" w14:textId="785A2A41" w:rsidR="002E5AE8" w:rsidRPr="00973F42" w:rsidRDefault="007205BF" w:rsidP="00782598">
      <w:pPr>
        <w:spacing w:after="180"/>
        <w:jc w:val="both"/>
        <w:textAlignment w:val="baseline"/>
        <w:rPr>
          <w:sz w:val="20"/>
        </w:rPr>
      </w:pPr>
      <w:r w:rsidRPr="00973F42">
        <w:rPr>
          <w:sz w:val="20"/>
        </w:rPr>
        <w:t xml:space="preserve">As </w:t>
      </w:r>
      <w:r w:rsidR="007171ED" w:rsidRPr="00973F42">
        <w:rPr>
          <w:sz w:val="20"/>
        </w:rPr>
        <w:t xml:space="preserve">an overview, </w:t>
      </w:r>
      <w:r w:rsidR="00152B2C" w:rsidRPr="00973F42">
        <w:rPr>
          <w:sz w:val="20"/>
        </w:rPr>
        <w:t>g</w:t>
      </w:r>
      <w:r w:rsidR="002E5AE8" w:rsidRPr="00973F42">
        <w:rPr>
          <w:sz w:val="20"/>
        </w:rPr>
        <w:t xml:space="preserve">overnment bonds rose over the last 12 months, with yields falling in most major economies </w:t>
      </w:r>
      <w:r w:rsidR="00152B2C" w:rsidRPr="00973F42">
        <w:rPr>
          <w:sz w:val="20"/>
        </w:rPr>
        <w:t>due to</w:t>
      </w:r>
      <w:r w:rsidR="002E5AE8" w:rsidRPr="00973F42">
        <w:rPr>
          <w:sz w:val="20"/>
        </w:rPr>
        <w:t xml:space="preserve"> investors’ caution, given the fragile state of the global economy and </w:t>
      </w:r>
      <w:r w:rsidR="00FA1424" w:rsidRPr="00973F42">
        <w:rPr>
          <w:sz w:val="20"/>
        </w:rPr>
        <w:t xml:space="preserve">as </w:t>
      </w:r>
      <w:r w:rsidR="002E5AE8" w:rsidRPr="00973F42">
        <w:rPr>
          <w:sz w:val="20"/>
        </w:rPr>
        <w:t>uncertainty</w:t>
      </w:r>
      <w:r w:rsidR="00153C0C" w:rsidRPr="00973F42">
        <w:rPr>
          <w:sz w:val="20"/>
        </w:rPr>
        <w:t xml:space="preserve"> </w:t>
      </w:r>
      <w:r w:rsidR="00FA1424" w:rsidRPr="00973F42">
        <w:rPr>
          <w:sz w:val="20"/>
        </w:rPr>
        <w:t xml:space="preserve">developed </w:t>
      </w:r>
      <w:r w:rsidR="002E5AE8" w:rsidRPr="00973F42">
        <w:rPr>
          <w:sz w:val="20"/>
        </w:rPr>
        <w:t xml:space="preserve">over the Covid crisis. Corporate bonds delivered positive returns fueled by falling government bond yields.  Central bank bond-buying also benefited the asset class. </w:t>
      </w:r>
    </w:p>
    <w:p w14:paraId="35FF3EFE" w14:textId="77777777" w:rsidR="00782598" w:rsidRPr="00973F42" w:rsidRDefault="00D82F30" w:rsidP="00782598">
      <w:pPr>
        <w:spacing w:after="180"/>
        <w:jc w:val="both"/>
        <w:textAlignment w:val="baseline"/>
        <w:rPr>
          <w:sz w:val="20"/>
        </w:rPr>
      </w:pPr>
      <w:r w:rsidRPr="00973F42">
        <w:rPr>
          <w:sz w:val="20"/>
        </w:rPr>
        <w:t xml:space="preserve">In the early part of the review period, collapsing government bond yields and fairly stable credit spreads in </w:t>
      </w:r>
      <w:proofErr w:type="gramStart"/>
      <w:r w:rsidRPr="00973F42">
        <w:rPr>
          <w:sz w:val="20"/>
        </w:rPr>
        <w:t>most higher</w:t>
      </w:r>
      <w:proofErr w:type="gramEnd"/>
      <w:r w:rsidRPr="00973F42">
        <w:rPr>
          <w:sz w:val="20"/>
        </w:rPr>
        <w:t xml:space="preserve">-quality bond markets led to fixed-income markets overall generating some strong returns, while showing little volatility. Although yields were already lower than many investors thought possible, deteriorating economic data and the threat of policy action caused a further collapse towards lows. </w:t>
      </w:r>
      <w:r w:rsidR="00A61D4C" w:rsidRPr="00973F42">
        <w:rPr>
          <w:sz w:val="20"/>
        </w:rPr>
        <w:t>Markets entered 2020 positively reflecting modestly improving global economic data and a ‘phase-one’ trade deal between the US and China. Investment</w:t>
      </w:r>
      <w:r w:rsidR="003C586C" w:rsidRPr="00973F42">
        <w:rPr>
          <w:sz w:val="20"/>
        </w:rPr>
        <w:t xml:space="preserve"> </w:t>
      </w:r>
      <w:r w:rsidR="00A61D4C" w:rsidRPr="00973F42">
        <w:rPr>
          <w:sz w:val="20"/>
        </w:rPr>
        <w:t>grade spreads tightened materially and high yield and emerging markets were also strong.</w:t>
      </w:r>
    </w:p>
    <w:p w14:paraId="067D31B4" w14:textId="2CFD0AB2" w:rsidR="006B014C" w:rsidRPr="00973F42" w:rsidRDefault="00A61D4C" w:rsidP="00782598">
      <w:pPr>
        <w:spacing w:after="180"/>
        <w:jc w:val="both"/>
        <w:textAlignment w:val="baseline"/>
        <w:rPr>
          <w:sz w:val="20"/>
        </w:rPr>
      </w:pPr>
      <w:r w:rsidRPr="00973F42">
        <w:rPr>
          <w:sz w:val="20"/>
        </w:rPr>
        <w:t>In late January</w:t>
      </w:r>
      <w:r w:rsidR="004D420B" w:rsidRPr="00973F42">
        <w:rPr>
          <w:sz w:val="20"/>
        </w:rPr>
        <w:t xml:space="preserve"> 2020</w:t>
      </w:r>
      <w:r w:rsidRPr="00973F42">
        <w:rPr>
          <w:sz w:val="20"/>
        </w:rPr>
        <w:t xml:space="preserve">, the coronavirus </w:t>
      </w:r>
      <w:r w:rsidR="00634227" w:rsidRPr="00973F42">
        <w:rPr>
          <w:sz w:val="20"/>
        </w:rPr>
        <w:t xml:space="preserve">outbreak </w:t>
      </w:r>
      <w:r w:rsidRPr="00973F42">
        <w:rPr>
          <w:sz w:val="20"/>
        </w:rPr>
        <w:t>started affecting markets, which began to consider the implications for global growth. Central banks and governments in both developed and emerging economies responded quickly, announcing rate cuts, bond-buying programmes and stimulus packages. These actions soothed financial markets, which also helped gradually reverse the dramatic spread widening seen in February and March over the subsequent months.</w:t>
      </w:r>
      <w:r w:rsidR="006B014C" w:rsidRPr="00973F42">
        <w:rPr>
          <w:sz w:val="20"/>
        </w:rPr>
        <w:t xml:space="preserve">  </w:t>
      </w:r>
      <w:r w:rsidRPr="00973F42">
        <w:rPr>
          <w:sz w:val="20"/>
        </w:rPr>
        <w:t>Despite outstanding risks in significant areas of the economy, buyers continu</w:t>
      </w:r>
      <w:r w:rsidR="00B27BAD" w:rsidRPr="00973F42">
        <w:rPr>
          <w:sz w:val="20"/>
        </w:rPr>
        <w:t>ed</w:t>
      </w:r>
      <w:r w:rsidRPr="00973F42">
        <w:rPr>
          <w:sz w:val="20"/>
        </w:rPr>
        <w:t xml:space="preserve"> to demand fixed-income assets, forcing yields lower and spreads tighter.</w:t>
      </w:r>
    </w:p>
    <w:p w14:paraId="6F152802" w14:textId="47D7E808" w:rsidR="00A61D4C" w:rsidRPr="00D04EFC" w:rsidRDefault="00044C26" w:rsidP="000C27EF">
      <w:pPr>
        <w:jc w:val="both"/>
        <w:rPr>
          <w:sz w:val="20"/>
        </w:rPr>
      </w:pPr>
      <w:r w:rsidRPr="00973F42">
        <w:rPr>
          <w:sz w:val="20"/>
        </w:rPr>
        <w:t>Over the reporting period t</w:t>
      </w:r>
      <w:r w:rsidR="00A61D4C" w:rsidRPr="00973F42">
        <w:rPr>
          <w:sz w:val="20"/>
        </w:rPr>
        <w:t>he portfolio performed strongly because of strong sector allocation and stock selection. The fund’s exposure to credit markets was focused on the lower-quality areas of the market and the financial sectors relative to non-financials.  Both factors were material drivers of performance over the period, with positioning in financials being especially beneficial. Overweight positions in sectors such as banks and utilities, which performed well, were particularly helpful. Meanwhile, underweight positions in the transportation and autos sectors also boosted performance, especially during the height of the COVID-19 crisis.</w:t>
      </w:r>
      <w:r w:rsidR="00A61D4C" w:rsidRPr="00D04EFC">
        <w:rPr>
          <w:sz w:val="20"/>
        </w:rPr>
        <w:t xml:space="preserve"> </w:t>
      </w:r>
    </w:p>
    <w:p w14:paraId="7F950E73" w14:textId="77777777" w:rsidR="00D26978" w:rsidRDefault="00D26978" w:rsidP="000C27EF">
      <w:pPr>
        <w:tabs>
          <w:tab w:val="left" w:pos="-720"/>
          <w:tab w:val="left" w:pos="0"/>
          <w:tab w:val="left" w:pos="2160"/>
          <w:tab w:val="right" w:pos="3187"/>
          <w:tab w:val="right" w:pos="4581"/>
          <w:tab w:val="right" w:pos="6048"/>
          <w:tab w:val="right" w:pos="7488"/>
          <w:tab w:val="right" w:pos="8640"/>
          <w:tab w:val="right" w:pos="10080"/>
        </w:tabs>
        <w:jc w:val="both"/>
        <w:rPr>
          <w:b/>
          <w:color w:val="000000"/>
          <w:sz w:val="20"/>
          <w:lang w:val="en-GB"/>
        </w:rPr>
      </w:pPr>
    </w:p>
    <w:p w14:paraId="2B40E150" w14:textId="18A55133" w:rsidR="00EE71DC" w:rsidRDefault="00EE71DC">
      <w:pPr>
        <w:ind w:left="720"/>
        <w:rPr>
          <w:color w:val="000000"/>
          <w:sz w:val="20"/>
        </w:rPr>
      </w:pPr>
    </w:p>
    <w:sectPr w:rsidR="00EE71DC" w:rsidSect="00653722">
      <w:footerReference w:type="default" r:id="rId8"/>
      <w:footerReference w:type="first" r:id="rId9"/>
      <w:endnotePr>
        <w:numFmt w:val="decimal"/>
      </w:endnotePr>
      <w:pgSz w:w="11906" w:h="16838" w:code="9"/>
      <w:pgMar w:top="1134" w:right="1106" w:bottom="1134" w:left="907" w:header="72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CD50E" w14:textId="77777777" w:rsidR="003A7B41" w:rsidRDefault="003A7B41">
      <w:r>
        <w:separator/>
      </w:r>
    </w:p>
  </w:endnote>
  <w:endnote w:type="continuationSeparator" w:id="0">
    <w:p w14:paraId="4E7B7163" w14:textId="77777777" w:rsidR="003A7B41" w:rsidRDefault="003A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74D1" w14:textId="77777777" w:rsidR="00F31CF7" w:rsidRDefault="00F31CF7">
    <w:pPr>
      <w:pStyle w:val="Footer"/>
      <w:jc w:val="center"/>
      <w:rPr>
        <w:b/>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F347" w14:textId="77777777" w:rsidR="00F31CF7" w:rsidRDefault="00F31CF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C735" w14:textId="77777777" w:rsidR="003A7B41" w:rsidRDefault="003A7B41">
      <w:r>
        <w:separator/>
      </w:r>
    </w:p>
  </w:footnote>
  <w:footnote w:type="continuationSeparator" w:id="0">
    <w:p w14:paraId="59EFCCF9" w14:textId="77777777" w:rsidR="003A7B41" w:rsidRDefault="003A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4800F4"/>
    <w:multiLevelType w:val="hybridMultilevel"/>
    <w:tmpl w:val="FD68297A"/>
    <w:lvl w:ilvl="0" w:tplc="56C66A8C">
      <w:start w:val="30"/>
      <w:numFmt w:val="bullet"/>
      <w:lvlText w:val=""/>
      <w:lvlJc w:val="left"/>
      <w:pPr>
        <w:ind w:left="405" w:hanging="360"/>
      </w:pPr>
      <w:rPr>
        <w:rFonts w:ascii="Wingdings" w:eastAsia="Times New Roman" w:hAnsi="Wingdings" w:cs="Times New Roman" w:hint="default"/>
        <w:sz w:val="22"/>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04B66C41"/>
    <w:multiLevelType w:val="singleLevel"/>
    <w:tmpl w:val="8C145530"/>
    <w:lvl w:ilvl="0">
      <w:start w:val="2"/>
      <w:numFmt w:val="lowerLetter"/>
      <w:lvlText w:val="(%1)"/>
      <w:lvlJc w:val="left"/>
      <w:pPr>
        <w:tabs>
          <w:tab w:val="num" w:pos="1440"/>
        </w:tabs>
        <w:ind w:left="1440" w:hanging="720"/>
      </w:pPr>
      <w:rPr>
        <w:rFonts w:hint="default"/>
      </w:rPr>
    </w:lvl>
  </w:abstractNum>
  <w:abstractNum w:abstractNumId="3" w15:restartNumberingAfterBreak="0">
    <w:nsid w:val="09E833C4"/>
    <w:multiLevelType w:val="hybridMultilevel"/>
    <w:tmpl w:val="3474B10E"/>
    <w:lvl w:ilvl="0" w:tplc="D2F20406">
      <w:start w:val="1"/>
      <w:numFmt w:val="lowerLetter"/>
      <w:lvlText w:val="%1)"/>
      <w:lvlJc w:val="left"/>
      <w:pPr>
        <w:ind w:left="1086" w:hanging="360"/>
      </w:pPr>
      <w:rPr>
        <w:rFonts w:hint="default"/>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4" w15:restartNumberingAfterBreak="0">
    <w:nsid w:val="0C007EA5"/>
    <w:multiLevelType w:val="singleLevel"/>
    <w:tmpl w:val="8B027426"/>
    <w:lvl w:ilvl="0">
      <w:start w:val="2"/>
      <w:numFmt w:val="bullet"/>
      <w:lvlText w:val="-"/>
      <w:lvlJc w:val="left"/>
      <w:pPr>
        <w:tabs>
          <w:tab w:val="num" w:pos="2520"/>
        </w:tabs>
        <w:ind w:left="2520" w:hanging="360"/>
      </w:pPr>
      <w:rPr>
        <w:rFonts w:hint="default"/>
      </w:rPr>
    </w:lvl>
  </w:abstractNum>
  <w:abstractNum w:abstractNumId="5" w15:restartNumberingAfterBreak="0">
    <w:nsid w:val="0EB0164E"/>
    <w:multiLevelType w:val="hybridMultilevel"/>
    <w:tmpl w:val="90C43F80"/>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A47D50"/>
    <w:multiLevelType w:val="hybridMultilevel"/>
    <w:tmpl w:val="5F0E0D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BE60D9"/>
    <w:multiLevelType w:val="hybridMultilevel"/>
    <w:tmpl w:val="3474B10E"/>
    <w:lvl w:ilvl="0" w:tplc="D2F20406">
      <w:start w:val="1"/>
      <w:numFmt w:val="lowerLetter"/>
      <w:lvlText w:val="%1)"/>
      <w:lvlJc w:val="left"/>
      <w:pPr>
        <w:ind w:left="1086" w:hanging="360"/>
      </w:pPr>
      <w:rPr>
        <w:rFonts w:hint="default"/>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8" w15:restartNumberingAfterBreak="0">
    <w:nsid w:val="1BD0219F"/>
    <w:multiLevelType w:val="multilevel"/>
    <w:tmpl w:val="EF0428F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40107"/>
    <w:multiLevelType w:val="singleLevel"/>
    <w:tmpl w:val="0409000F"/>
    <w:lvl w:ilvl="0">
      <w:start w:val="8"/>
      <w:numFmt w:val="decimal"/>
      <w:lvlText w:val="%1."/>
      <w:lvlJc w:val="left"/>
      <w:pPr>
        <w:tabs>
          <w:tab w:val="num" w:pos="360"/>
        </w:tabs>
        <w:ind w:left="360" w:hanging="360"/>
      </w:pPr>
      <w:rPr>
        <w:rFonts w:hint="default"/>
      </w:rPr>
    </w:lvl>
  </w:abstractNum>
  <w:abstractNum w:abstractNumId="10" w15:restartNumberingAfterBreak="0">
    <w:nsid w:val="21E45BC7"/>
    <w:multiLevelType w:val="hybridMultilevel"/>
    <w:tmpl w:val="5BCE7B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0F791E"/>
    <w:multiLevelType w:val="hybridMultilevel"/>
    <w:tmpl w:val="70AAC2BA"/>
    <w:lvl w:ilvl="0" w:tplc="4A18D884">
      <w:start w:val="7"/>
      <w:numFmt w:val="bullet"/>
      <w:lvlText w:val="-"/>
      <w:lvlJc w:val="left"/>
      <w:pPr>
        <w:tabs>
          <w:tab w:val="num" w:pos="2520"/>
        </w:tabs>
        <w:ind w:left="2520" w:hanging="360"/>
      </w:pPr>
      <w:rPr>
        <w:rFonts w:ascii="Times New Roman" w:eastAsia="Times New Roman" w:hAnsi="Times New Roman" w:cs="Times New Roman" w:hint="default"/>
      </w:rPr>
    </w:lvl>
    <w:lvl w:ilvl="1" w:tplc="C1AA2D1E" w:tentative="1">
      <w:start w:val="1"/>
      <w:numFmt w:val="bullet"/>
      <w:lvlText w:val="o"/>
      <w:lvlJc w:val="left"/>
      <w:pPr>
        <w:tabs>
          <w:tab w:val="num" w:pos="3240"/>
        </w:tabs>
        <w:ind w:left="3240" w:hanging="360"/>
      </w:pPr>
      <w:rPr>
        <w:rFonts w:ascii="Courier New" w:hAnsi="Courier New" w:cs="Wingdings" w:hint="default"/>
      </w:rPr>
    </w:lvl>
    <w:lvl w:ilvl="2" w:tplc="3584644E" w:tentative="1">
      <w:start w:val="1"/>
      <w:numFmt w:val="bullet"/>
      <w:lvlText w:val=""/>
      <w:lvlJc w:val="left"/>
      <w:pPr>
        <w:tabs>
          <w:tab w:val="num" w:pos="3960"/>
        </w:tabs>
        <w:ind w:left="3960" w:hanging="360"/>
      </w:pPr>
      <w:rPr>
        <w:rFonts w:ascii="Wingdings" w:hAnsi="Wingdings" w:hint="default"/>
      </w:rPr>
    </w:lvl>
    <w:lvl w:ilvl="3" w:tplc="8C2E2EB0" w:tentative="1">
      <w:start w:val="1"/>
      <w:numFmt w:val="bullet"/>
      <w:lvlText w:val=""/>
      <w:lvlJc w:val="left"/>
      <w:pPr>
        <w:tabs>
          <w:tab w:val="num" w:pos="4680"/>
        </w:tabs>
        <w:ind w:left="4680" w:hanging="360"/>
      </w:pPr>
      <w:rPr>
        <w:rFonts w:ascii="Symbol" w:hAnsi="Symbol" w:hint="default"/>
      </w:rPr>
    </w:lvl>
    <w:lvl w:ilvl="4" w:tplc="6A1AE022" w:tentative="1">
      <w:start w:val="1"/>
      <w:numFmt w:val="bullet"/>
      <w:lvlText w:val="o"/>
      <w:lvlJc w:val="left"/>
      <w:pPr>
        <w:tabs>
          <w:tab w:val="num" w:pos="5400"/>
        </w:tabs>
        <w:ind w:left="5400" w:hanging="360"/>
      </w:pPr>
      <w:rPr>
        <w:rFonts w:ascii="Courier New" w:hAnsi="Courier New" w:cs="Wingdings" w:hint="default"/>
      </w:rPr>
    </w:lvl>
    <w:lvl w:ilvl="5" w:tplc="16C85B62" w:tentative="1">
      <w:start w:val="1"/>
      <w:numFmt w:val="bullet"/>
      <w:lvlText w:val=""/>
      <w:lvlJc w:val="left"/>
      <w:pPr>
        <w:tabs>
          <w:tab w:val="num" w:pos="6120"/>
        </w:tabs>
        <w:ind w:left="6120" w:hanging="360"/>
      </w:pPr>
      <w:rPr>
        <w:rFonts w:ascii="Wingdings" w:hAnsi="Wingdings" w:hint="default"/>
      </w:rPr>
    </w:lvl>
    <w:lvl w:ilvl="6" w:tplc="54722D08" w:tentative="1">
      <w:start w:val="1"/>
      <w:numFmt w:val="bullet"/>
      <w:lvlText w:val=""/>
      <w:lvlJc w:val="left"/>
      <w:pPr>
        <w:tabs>
          <w:tab w:val="num" w:pos="6840"/>
        </w:tabs>
        <w:ind w:left="6840" w:hanging="360"/>
      </w:pPr>
      <w:rPr>
        <w:rFonts w:ascii="Symbol" w:hAnsi="Symbol" w:hint="default"/>
      </w:rPr>
    </w:lvl>
    <w:lvl w:ilvl="7" w:tplc="ED14D314" w:tentative="1">
      <w:start w:val="1"/>
      <w:numFmt w:val="bullet"/>
      <w:lvlText w:val="o"/>
      <w:lvlJc w:val="left"/>
      <w:pPr>
        <w:tabs>
          <w:tab w:val="num" w:pos="7560"/>
        </w:tabs>
        <w:ind w:left="7560" w:hanging="360"/>
      </w:pPr>
      <w:rPr>
        <w:rFonts w:ascii="Courier New" w:hAnsi="Courier New" w:cs="Wingdings" w:hint="default"/>
      </w:rPr>
    </w:lvl>
    <w:lvl w:ilvl="8" w:tplc="300205F2"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25850761"/>
    <w:multiLevelType w:val="singleLevel"/>
    <w:tmpl w:val="A3A0A23A"/>
    <w:lvl w:ilvl="0">
      <w:start w:val="5"/>
      <w:numFmt w:val="decimal"/>
      <w:lvlText w:val="%1"/>
      <w:lvlJc w:val="left"/>
      <w:pPr>
        <w:tabs>
          <w:tab w:val="num" w:pos="360"/>
        </w:tabs>
        <w:ind w:left="360" w:hanging="360"/>
      </w:pPr>
      <w:rPr>
        <w:rFonts w:hint="default"/>
      </w:rPr>
    </w:lvl>
  </w:abstractNum>
  <w:abstractNum w:abstractNumId="13" w15:restartNumberingAfterBreak="0">
    <w:nsid w:val="30E31FF0"/>
    <w:multiLevelType w:val="singleLevel"/>
    <w:tmpl w:val="CF684796"/>
    <w:lvl w:ilvl="0">
      <w:start w:val="9"/>
      <w:numFmt w:val="decimal"/>
      <w:lvlText w:val="%1"/>
      <w:legacy w:legacy="1" w:legacySpace="0" w:legacyIndent="720"/>
      <w:lvlJc w:val="left"/>
      <w:pPr>
        <w:ind w:left="720" w:hanging="720"/>
      </w:pPr>
    </w:lvl>
  </w:abstractNum>
  <w:abstractNum w:abstractNumId="14" w15:restartNumberingAfterBreak="0">
    <w:nsid w:val="34100F92"/>
    <w:multiLevelType w:val="hybridMultilevel"/>
    <w:tmpl w:val="11287770"/>
    <w:lvl w:ilvl="0" w:tplc="8CE838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B5887"/>
    <w:multiLevelType w:val="hybridMultilevel"/>
    <w:tmpl w:val="6672816C"/>
    <w:lvl w:ilvl="0" w:tplc="F4E0D0B0">
      <w:start w:val="30"/>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37381397"/>
    <w:multiLevelType w:val="singleLevel"/>
    <w:tmpl w:val="73F0601A"/>
    <w:lvl w:ilvl="0">
      <w:start w:val="3"/>
      <w:numFmt w:val="decimal"/>
      <w:lvlText w:val="%1."/>
      <w:lvlJc w:val="left"/>
      <w:pPr>
        <w:tabs>
          <w:tab w:val="num" w:pos="720"/>
        </w:tabs>
        <w:ind w:left="720" w:hanging="720"/>
      </w:pPr>
      <w:rPr>
        <w:rFonts w:hint="default"/>
        <w:b w:val="0"/>
      </w:rPr>
    </w:lvl>
  </w:abstractNum>
  <w:abstractNum w:abstractNumId="17" w15:restartNumberingAfterBreak="0">
    <w:nsid w:val="3B0314AD"/>
    <w:multiLevelType w:val="singleLevel"/>
    <w:tmpl w:val="08090001"/>
    <w:lvl w:ilvl="0">
      <w:start w:val="12"/>
      <w:numFmt w:val="bullet"/>
      <w:lvlText w:val=""/>
      <w:lvlJc w:val="left"/>
      <w:pPr>
        <w:tabs>
          <w:tab w:val="num" w:pos="360"/>
        </w:tabs>
        <w:ind w:left="360" w:hanging="360"/>
      </w:pPr>
      <w:rPr>
        <w:rFonts w:ascii="Symbol" w:hAnsi="Symbol" w:hint="default"/>
      </w:rPr>
    </w:lvl>
  </w:abstractNum>
  <w:abstractNum w:abstractNumId="18" w15:restartNumberingAfterBreak="0">
    <w:nsid w:val="3B0E3CAD"/>
    <w:multiLevelType w:val="multilevel"/>
    <w:tmpl w:val="02D2B5B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54093C"/>
    <w:multiLevelType w:val="singleLevel"/>
    <w:tmpl w:val="0630C342"/>
    <w:lvl w:ilvl="0">
      <w:start w:val="1"/>
      <w:numFmt w:val="lowerRoman"/>
      <w:lvlText w:val="%1"/>
      <w:legacy w:legacy="1" w:legacySpace="0" w:legacyIndent="720"/>
      <w:lvlJc w:val="left"/>
      <w:pPr>
        <w:ind w:left="1440" w:hanging="720"/>
      </w:pPr>
    </w:lvl>
  </w:abstractNum>
  <w:abstractNum w:abstractNumId="20" w15:restartNumberingAfterBreak="0">
    <w:nsid w:val="3F2C4D6D"/>
    <w:multiLevelType w:val="hybridMultilevel"/>
    <w:tmpl w:val="CDA60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B12F68"/>
    <w:multiLevelType w:val="hybridMultilevel"/>
    <w:tmpl w:val="5B1827F8"/>
    <w:lvl w:ilvl="0" w:tplc="FCFCFFA0">
      <w:start w:val="1"/>
      <w:numFmt w:val="bullet"/>
      <w:lvlText w:val=""/>
      <w:lvlJc w:val="left"/>
      <w:pPr>
        <w:ind w:left="405" w:hanging="360"/>
      </w:pPr>
      <w:rPr>
        <w:rFonts w:ascii="Wingdings" w:eastAsia="Times New Roman" w:hAnsi="Wingdings"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49297978"/>
    <w:multiLevelType w:val="multilevel"/>
    <w:tmpl w:val="543ABF88"/>
    <w:lvl w:ilvl="0">
      <w:start w:val="1"/>
      <w:numFmt w:val="lowerRoman"/>
      <w:lvlText w:val="%1)"/>
      <w:lvlJc w:val="left"/>
      <w:pPr>
        <w:tabs>
          <w:tab w:val="num" w:pos="1440"/>
        </w:tabs>
        <w:ind w:left="1440" w:hanging="72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C2768"/>
    <w:multiLevelType w:val="hybridMultilevel"/>
    <w:tmpl w:val="11BCB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46A0A"/>
    <w:multiLevelType w:val="hybridMultilevel"/>
    <w:tmpl w:val="FFDC36F6"/>
    <w:lvl w:ilvl="0" w:tplc="90081A9A">
      <w:start w:val="99"/>
      <w:numFmt w:val="bullet"/>
      <w:lvlText w:val="-"/>
      <w:lvlJc w:val="left"/>
      <w:pPr>
        <w:ind w:left="1095" w:hanging="360"/>
      </w:pPr>
      <w:rPr>
        <w:rFonts w:ascii="Times New Roman" w:eastAsia="Times New Roman" w:hAnsi="Times New Roman" w:cs="Times New Roman"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5" w15:restartNumberingAfterBreak="0">
    <w:nsid w:val="506F0371"/>
    <w:multiLevelType w:val="singleLevel"/>
    <w:tmpl w:val="FFFFFFFF"/>
    <w:lvl w:ilvl="0">
      <w:numFmt w:val="decimal"/>
      <w:pStyle w:val="Heading8"/>
      <w:lvlText w:val="%1"/>
      <w:legacy w:legacy="1" w:legacySpace="0" w:legacyIndent="0"/>
      <w:lvlJc w:val="left"/>
    </w:lvl>
  </w:abstractNum>
  <w:abstractNum w:abstractNumId="26" w15:restartNumberingAfterBreak="0">
    <w:nsid w:val="51B604B9"/>
    <w:multiLevelType w:val="singleLevel"/>
    <w:tmpl w:val="A1F6E472"/>
    <w:lvl w:ilvl="0">
      <w:start w:val="6"/>
      <w:numFmt w:val="decimal"/>
      <w:lvlText w:val="%1."/>
      <w:lvlJc w:val="left"/>
      <w:pPr>
        <w:tabs>
          <w:tab w:val="num" w:pos="720"/>
        </w:tabs>
        <w:ind w:left="720" w:hanging="720"/>
      </w:pPr>
      <w:rPr>
        <w:rFonts w:hint="default"/>
        <w:b w:val="0"/>
      </w:rPr>
    </w:lvl>
  </w:abstractNum>
  <w:abstractNum w:abstractNumId="27" w15:restartNumberingAfterBreak="0">
    <w:nsid w:val="5C2F328C"/>
    <w:multiLevelType w:val="hybridMultilevel"/>
    <w:tmpl w:val="3D50A3C2"/>
    <w:lvl w:ilvl="0" w:tplc="D5A8160C">
      <w:start w:val="30"/>
      <w:numFmt w:val="bullet"/>
      <w:lvlText w:val=""/>
      <w:lvlJc w:val="left"/>
      <w:pPr>
        <w:ind w:left="405" w:hanging="360"/>
      </w:pPr>
      <w:rPr>
        <w:rFonts w:ascii="Wingdings" w:eastAsia="Times New Roman" w:hAnsi="Wingdings" w:cs="Times New Roman" w:hint="default"/>
        <w:sz w:val="22"/>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8" w15:restartNumberingAfterBreak="0">
    <w:nsid w:val="61C939D5"/>
    <w:multiLevelType w:val="hybridMultilevel"/>
    <w:tmpl w:val="9A064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D34560"/>
    <w:multiLevelType w:val="hybridMultilevel"/>
    <w:tmpl w:val="9FF64CD6"/>
    <w:lvl w:ilvl="0" w:tplc="11763BFC">
      <w:start w:val="1"/>
      <w:numFmt w:val="lowerRoman"/>
      <w:lvlText w:val="%1)"/>
      <w:lvlJc w:val="left"/>
      <w:pPr>
        <w:tabs>
          <w:tab w:val="num" w:pos="1440"/>
        </w:tabs>
        <w:ind w:left="1440" w:hanging="720"/>
      </w:pPr>
      <w:rPr>
        <w:rFonts w:hint="default"/>
      </w:rPr>
    </w:lvl>
    <w:lvl w:ilvl="1" w:tplc="8ED64F12" w:tentative="1">
      <w:start w:val="1"/>
      <w:numFmt w:val="lowerLetter"/>
      <w:lvlText w:val="%2."/>
      <w:lvlJc w:val="left"/>
      <w:pPr>
        <w:tabs>
          <w:tab w:val="num" w:pos="1800"/>
        </w:tabs>
        <w:ind w:left="1800" w:hanging="360"/>
      </w:pPr>
    </w:lvl>
    <w:lvl w:ilvl="2" w:tplc="CD8C1E30" w:tentative="1">
      <w:start w:val="1"/>
      <w:numFmt w:val="lowerRoman"/>
      <w:lvlText w:val="%3."/>
      <w:lvlJc w:val="right"/>
      <w:pPr>
        <w:tabs>
          <w:tab w:val="num" w:pos="2520"/>
        </w:tabs>
        <w:ind w:left="2520" w:hanging="180"/>
      </w:pPr>
    </w:lvl>
    <w:lvl w:ilvl="3" w:tplc="67A23616" w:tentative="1">
      <w:start w:val="1"/>
      <w:numFmt w:val="decimal"/>
      <w:lvlText w:val="%4."/>
      <w:lvlJc w:val="left"/>
      <w:pPr>
        <w:tabs>
          <w:tab w:val="num" w:pos="3240"/>
        </w:tabs>
        <w:ind w:left="3240" w:hanging="360"/>
      </w:pPr>
    </w:lvl>
    <w:lvl w:ilvl="4" w:tplc="5BFE9F1C" w:tentative="1">
      <w:start w:val="1"/>
      <w:numFmt w:val="lowerLetter"/>
      <w:lvlText w:val="%5."/>
      <w:lvlJc w:val="left"/>
      <w:pPr>
        <w:tabs>
          <w:tab w:val="num" w:pos="3960"/>
        </w:tabs>
        <w:ind w:left="3960" w:hanging="360"/>
      </w:pPr>
    </w:lvl>
    <w:lvl w:ilvl="5" w:tplc="8B047FAC" w:tentative="1">
      <w:start w:val="1"/>
      <w:numFmt w:val="lowerRoman"/>
      <w:lvlText w:val="%6."/>
      <w:lvlJc w:val="right"/>
      <w:pPr>
        <w:tabs>
          <w:tab w:val="num" w:pos="4680"/>
        </w:tabs>
        <w:ind w:left="4680" w:hanging="180"/>
      </w:pPr>
    </w:lvl>
    <w:lvl w:ilvl="6" w:tplc="54280340" w:tentative="1">
      <w:start w:val="1"/>
      <w:numFmt w:val="decimal"/>
      <w:lvlText w:val="%7."/>
      <w:lvlJc w:val="left"/>
      <w:pPr>
        <w:tabs>
          <w:tab w:val="num" w:pos="5400"/>
        </w:tabs>
        <w:ind w:left="5400" w:hanging="360"/>
      </w:pPr>
    </w:lvl>
    <w:lvl w:ilvl="7" w:tplc="1AF487A0" w:tentative="1">
      <w:start w:val="1"/>
      <w:numFmt w:val="lowerLetter"/>
      <w:lvlText w:val="%8."/>
      <w:lvlJc w:val="left"/>
      <w:pPr>
        <w:tabs>
          <w:tab w:val="num" w:pos="6120"/>
        </w:tabs>
        <w:ind w:left="6120" w:hanging="360"/>
      </w:pPr>
    </w:lvl>
    <w:lvl w:ilvl="8" w:tplc="69CC1C0A" w:tentative="1">
      <w:start w:val="1"/>
      <w:numFmt w:val="lowerRoman"/>
      <w:lvlText w:val="%9."/>
      <w:lvlJc w:val="right"/>
      <w:pPr>
        <w:tabs>
          <w:tab w:val="num" w:pos="6840"/>
        </w:tabs>
        <w:ind w:left="6840" w:hanging="180"/>
      </w:pPr>
    </w:lvl>
  </w:abstractNum>
  <w:abstractNum w:abstractNumId="30" w15:restartNumberingAfterBreak="0">
    <w:nsid w:val="6BF558AB"/>
    <w:multiLevelType w:val="singleLevel"/>
    <w:tmpl w:val="AC6ADEE4"/>
    <w:lvl w:ilvl="0">
      <w:start w:val="10"/>
      <w:numFmt w:val="decimal"/>
      <w:lvlText w:val="%1."/>
      <w:lvlJc w:val="left"/>
      <w:pPr>
        <w:tabs>
          <w:tab w:val="num" w:pos="720"/>
        </w:tabs>
        <w:ind w:left="720" w:hanging="720"/>
      </w:pPr>
      <w:rPr>
        <w:rFonts w:hint="default"/>
        <w:b w:val="0"/>
      </w:rPr>
    </w:lvl>
  </w:abstractNum>
  <w:abstractNum w:abstractNumId="31" w15:restartNumberingAfterBreak="0">
    <w:nsid w:val="6C2B7D7C"/>
    <w:multiLevelType w:val="hybridMultilevel"/>
    <w:tmpl w:val="8618E05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2" w15:restartNumberingAfterBreak="0">
    <w:nsid w:val="70D90A96"/>
    <w:multiLevelType w:val="multilevel"/>
    <w:tmpl w:val="543ABF88"/>
    <w:lvl w:ilvl="0">
      <w:start w:val="1"/>
      <w:numFmt w:val="lowerRoman"/>
      <w:lvlText w:val="%1)"/>
      <w:lvlJc w:val="left"/>
      <w:pPr>
        <w:tabs>
          <w:tab w:val="num" w:pos="1440"/>
        </w:tabs>
        <w:ind w:left="1440" w:hanging="72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74A1712"/>
    <w:multiLevelType w:val="hybridMultilevel"/>
    <w:tmpl w:val="3474B10E"/>
    <w:lvl w:ilvl="0" w:tplc="D2F20406">
      <w:start w:val="1"/>
      <w:numFmt w:val="lowerLetter"/>
      <w:lvlText w:val="%1)"/>
      <w:lvlJc w:val="left"/>
      <w:pPr>
        <w:ind w:left="1086" w:hanging="360"/>
      </w:pPr>
      <w:rPr>
        <w:rFonts w:hint="default"/>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num w:numId="1">
    <w:abstractNumId w:val="25"/>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9"/>
  </w:num>
  <w:num w:numId="5">
    <w:abstractNumId w:val="13"/>
  </w:num>
  <w:num w:numId="6">
    <w:abstractNumId w:val="32"/>
  </w:num>
  <w:num w:numId="7">
    <w:abstractNumId w:val="9"/>
  </w:num>
  <w:num w:numId="8">
    <w:abstractNumId w:val="26"/>
  </w:num>
  <w:num w:numId="9">
    <w:abstractNumId w:val="2"/>
  </w:num>
  <w:num w:numId="10">
    <w:abstractNumId w:val="30"/>
  </w:num>
  <w:num w:numId="11">
    <w:abstractNumId w:val="4"/>
  </w:num>
  <w:num w:numId="12">
    <w:abstractNumId w:val="16"/>
  </w:num>
  <w:num w:numId="13">
    <w:abstractNumId w:val="12"/>
  </w:num>
  <w:num w:numId="14">
    <w:abstractNumId w:val="11"/>
  </w:num>
  <w:num w:numId="15">
    <w:abstractNumId w:val="18"/>
  </w:num>
  <w:num w:numId="16">
    <w:abstractNumId w:val="8"/>
  </w:num>
  <w:num w:numId="17">
    <w:abstractNumId w:val="17"/>
  </w:num>
  <w:num w:numId="18">
    <w:abstractNumId w:val="14"/>
  </w:num>
  <w:num w:numId="19">
    <w:abstractNumId w:val="29"/>
  </w:num>
  <w:num w:numId="20">
    <w:abstractNumId w:val="22"/>
  </w:num>
  <w:num w:numId="21">
    <w:abstractNumId w:val="5"/>
  </w:num>
  <w:num w:numId="22">
    <w:abstractNumId w:val="20"/>
  </w:num>
  <w:num w:numId="23">
    <w:abstractNumId w:val="23"/>
  </w:num>
  <w:num w:numId="24">
    <w:abstractNumId w:val="31"/>
  </w:num>
  <w:num w:numId="25">
    <w:abstractNumId w:val="7"/>
  </w:num>
  <w:num w:numId="26">
    <w:abstractNumId w:val="24"/>
  </w:num>
  <w:num w:numId="27">
    <w:abstractNumId w:val="33"/>
  </w:num>
  <w:num w:numId="28">
    <w:abstractNumId w:val="3"/>
  </w:num>
  <w:num w:numId="29">
    <w:abstractNumId w:val="21"/>
  </w:num>
  <w:num w:numId="30">
    <w:abstractNumId w:val="6"/>
  </w:num>
  <w:num w:numId="31">
    <w:abstractNumId w:val="10"/>
  </w:num>
  <w:num w:numId="32">
    <w:abstractNumId w:val="15"/>
  </w:num>
  <w:num w:numId="33">
    <w:abstractNumId w:val="1"/>
  </w:num>
  <w:num w:numId="34">
    <w:abstractNumId w:val="2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1D"/>
    <w:rsid w:val="000001E6"/>
    <w:rsid w:val="00000E5D"/>
    <w:rsid w:val="0000113A"/>
    <w:rsid w:val="00004202"/>
    <w:rsid w:val="0000460A"/>
    <w:rsid w:val="00005A89"/>
    <w:rsid w:val="00006548"/>
    <w:rsid w:val="0000753A"/>
    <w:rsid w:val="000107C3"/>
    <w:rsid w:val="000115A3"/>
    <w:rsid w:val="000206A7"/>
    <w:rsid w:val="00020ADC"/>
    <w:rsid w:val="00022CE7"/>
    <w:rsid w:val="0002588A"/>
    <w:rsid w:val="00034E38"/>
    <w:rsid w:val="000351C7"/>
    <w:rsid w:val="00041E84"/>
    <w:rsid w:val="000428B8"/>
    <w:rsid w:val="00043523"/>
    <w:rsid w:val="00043699"/>
    <w:rsid w:val="00044C26"/>
    <w:rsid w:val="0004513D"/>
    <w:rsid w:val="00045159"/>
    <w:rsid w:val="000459F3"/>
    <w:rsid w:val="00045DAA"/>
    <w:rsid w:val="00051BE5"/>
    <w:rsid w:val="0005502F"/>
    <w:rsid w:val="00055B42"/>
    <w:rsid w:val="00061524"/>
    <w:rsid w:val="00065694"/>
    <w:rsid w:val="00067DE7"/>
    <w:rsid w:val="00075CB5"/>
    <w:rsid w:val="000774C0"/>
    <w:rsid w:val="00081DBA"/>
    <w:rsid w:val="00082D8B"/>
    <w:rsid w:val="000840A7"/>
    <w:rsid w:val="00085B1C"/>
    <w:rsid w:val="0008612B"/>
    <w:rsid w:val="00086560"/>
    <w:rsid w:val="00086DCB"/>
    <w:rsid w:val="000908AB"/>
    <w:rsid w:val="00092C15"/>
    <w:rsid w:val="00093632"/>
    <w:rsid w:val="00093A92"/>
    <w:rsid w:val="000A30D5"/>
    <w:rsid w:val="000A311D"/>
    <w:rsid w:val="000A648A"/>
    <w:rsid w:val="000A6CC9"/>
    <w:rsid w:val="000B2AFD"/>
    <w:rsid w:val="000B6C8D"/>
    <w:rsid w:val="000B6E38"/>
    <w:rsid w:val="000B7D06"/>
    <w:rsid w:val="000C27EF"/>
    <w:rsid w:val="000C5F22"/>
    <w:rsid w:val="000C7015"/>
    <w:rsid w:val="000D0E8F"/>
    <w:rsid w:val="000D17D6"/>
    <w:rsid w:val="000E0871"/>
    <w:rsid w:val="000E0C10"/>
    <w:rsid w:val="000E1475"/>
    <w:rsid w:val="000E2A98"/>
    <w:rsid w:val="000E4D8F"/>
    <w:rsid w:val="000F0E0B"/>
    <w:rsid w:val="000F1153"/>
    <w:rsid w:val="000F356D"/>
    <w:rsid w:val="000F3F15"/>
    <w:rsid w:val="000F63A2"/>
    <w:rsid w:val="00100771"/>
    <w:rsid w:val="00111E54"/>
    <w:rsid w:val="001134A4"/>
    <w:rsid w:val="00117A7B"/>
    <w:rsid w:val="00122141"/>
    <w:rsid w:val="00122718"/>
    <w:rsid w:val="0012381F"/>
    <w:rsid w:val="00123B74"/>
    <w:rsid w:val="00124120"/>
    <w:rsid w:val="001260EA"/>
    <w:rsid w:val="00126EC3"/>
    <w:rsid w:val="00127618"/>
    <w:rsid w:val="00130B50"/>
    <w:rsid w:val="00130D8A"/>
    <w:rsid w:val="001314C8"/>
    <w:rsid w:val="00131711"/>
    <w:rsid w:val="0014037D"/>
    <w:rsid w:val="00144F6F"/>
    <w:rsid w:val="001507A4"/>
    <w:rsid w:val="001507F0"/>
    <w:rsid w:val="00152B2C"/>
    <w:rsid w:val="00153C0C"/>
    <w:rsid w:val="00154843"/>
    <w:rsid w:val="001549DB"/>
    <w:rsid w:val="00155ABD"/>
    <w:rsid w:val="00157025"/>
    <w:rsid w:val="001601F6"/>
    <w:rsid w:val="001624F4"/>
    <w:rsid w:val="0016281F"/>
    <w:rsid w:val="00164EC3"/>
    <w:rsid w:val="00165C21"/>
    <w:rsid w:val="001661F1"/>
    <w:rsid w:val="00176516"/>
    <w:rsid w:val="00180576"/>
    <w:rsid w:val="00181F92"/>
    <w:rsid w:val="00182DBA"/>
    <w:rsid w:val="00186BB1"/>
    <w:rsid w:val="00193296"/>
    <w:rsid w:val="00193836"/>
    <w:rsid w:val="0019456A"/>
    <w:rsid w:val="001A0928"/>
    <w:rsid w:val="001A32AB"/>
    <w:rsid w:val="001A3D32"/>
    <w:rsid w:val="001A7BAE"/>
    <w:rsid w:val="001B0732"/>
    <w:rsid w:val="001B3510"/>
    <w:rsid w:val="001B6DB8"/>
    <w:rsid w:val="001B7313"/>
    <w:rsid w:val="001C071B"/>
    <w:rsid w:val="001C4030"/>
    <w:rsid w:val="001C5308"/>
    <w:rsid w:val="001C57DA"/>
    <w:rsid w:val="001C58AB"/>
    <w:rsid w:val="001C66DC"/>
    <w:rsid w:val="001C6763"/>
    <w:rsid w:val="001C6EC3"/>
    <w:rsid w:val="001C7D6E"/>
    <w:rsid w:val="001D466B"/>
    <w:rsid w:val="001D4AB5"/>
    <w:rsid w:val="001D4B5E"/>
    <w:rsid w:val="001E06EA"/>
    <w:rsid w:val="001E10D1"/>
    <w:rsid w:val="001E2562"/>
    <w:rsid w:val="001E3BE9"/>
    <w:rsid w:val="001E4072"/>
    <w:rsid w:val="001E61C8"/>
    <w:rsid w:val="001F4D98"/>
    <w:rsid w:val="001F5A2C"/>
    <w:rsid w:val="00200514"/>
    <w:rsid w:val="0020057A"/>
    <w:rsid w:val="0020070B"/>
    <w:rsid w:val="00203240"/>
    <w:rsid w:val="00203241"/>
    <w:rsid w:val="00203DD0"/>
    <w:rsid w:val="00203FEE"/>
    <w:rsid w:val="002045ED"/>
    <w:rsid w:val="00207CC2"/>
    <w:rsid w:val="00211455"/>
    <w:rsid w:val="00212F6D"/>
    <w:rsid w:val="00212F77"/>
    <w:rsid w:val="00216DAF"/>
    <w:rsid w:val="0022011D"/>
    <w:rsid w:val="00220D41"/>
    <w:rsid w:val="00223187"/>
    <w:rsid w:val="002250E7"/>
    <w:rsid w:val="002277A3"/>
    <w:rsid w:val="00230D90"/>
    <w:rsid w:val="002314D1"/>
    <w:rsid w:val="00234D98"/>
    <w:rsid w:val="00235B91"/>
    <w:rsid w:val="00236767"/>
    <w:rsid w:val="00242F00"/>
    <w:rsid w:val="0024536C"/>
    <w:rsid w:val="00251FBF"/>
    <w:rsid w:val="002531FF"/>
    <w:rsid w:val="0025339C"/>
    <w:rsid w:val="00254DD6"/>
    <w:rsid w:val="002562FF"/>
    <w:rsid w:val="002612B7"/>
    <w:rsid w:val="00266C55"/>
    <w:rsid w:val="0027069F"/>
    <w:rsid w:val="00270A1D"/>
    <w:rsid w:val="002733CC"/>
    <w:rsid w:val="002772EE"/>
    <w:rsid w:val="00277C70"/>
    <w:rsid w:val="002803AB"/>
    <w:rsid w:val="00287AA2"/>
    <w:rsid w:val="00290EB1"/>
    <w:rsid w:val="0029135E"/>
    <w:rsid w:val="00297D7A"/>
    <w:rsid w:val="002A0C70"/>
    <w:rsid w:val="002A44ED"/>
    <w:rsid w:val="002A5251"/>
    <w:rsid w:val="002A64B8"/>
    <w:rsid w:val="002A6A68"/>
    <w:rsid w:val="002B1AB7"/>
    <w:rsid w:val="002B3520"/>
    <w:rsid w:val="002B3613"/>
    <w:rsid w:val="002B56FD"/>
    <w:rsid w:val="002C0A72"/>
    <w:rsid w:val="002C4E9E"/>
    <w:rsid w:val="002C5254"/>
    <w:rsid w:val="002C70FA"/>
    <w:rsid w:val="002D3339"/>
    <w:rsid w:val="002D49B9"/>
    <w:rsid w:val="002D598E"/>
    <w:rsid w:val="002E18EC"/>
    <w:rsid w:val="002E5AE8"/>
    <w:rsid w:val="002E5AF1"/>
    <w:rsid w:val="002E5BDC"/>
    <w:rsid w:val="002E6FD8"/>
    <w:rsid w:val="002F4295"/>
    <w:rsid w:val="002F567F"/>
    <w:rsid w:val="002F73A8"/>
    <w:rsid w:val="002F78BF"/>
    <w:rsid w:val="003026F1"/>
    <w:rsid w:val="0030408E"/>
    <w:rsid w:val="003058AB"/>
    <w:rsid w:val="00307333"/>
    <w:rsid w:val="00312223"/>
    <w:rsid w:val="003141D8"/>
    <w:rsid w:val="003209D3"/>
    <w:rsid w:val="0032103F"/>
    <w:rsid w:val="003242E4"/>
    <w:rsid w:val="0032435A"/>
    <w:rsid w:val="0032531C"/>
    <w:rsid w:val="00325746"/>
    <w:rsid w:val="003262C5"/>
    <w:rsid w:val="003264D3"/>
    <w:rsid w:val="0032670A"/>
    <w:rsid w:val="0033030B"/>
    <w:rsid w:val="0033094E"/>
    <w:rsid w:val="003338A6"/>
    <w:rsid w:val="00334D87"/>
    <w:rsid w:val="00335053"/>
    <w:rsid w:val="0033566A"/>
    <w:rsid w:val="00336173"/>
    <w:rsid w:val="00337FE4"/>
    <w:rsid w:val="00343F73"/>
    <w:rsid w:val="003444B5"/>
    <w:rsid w:val="0035108E"/>
    <w:rsid w:val="00351E35"/>
    <w:rsid w:val="00351E8B"/>
    <w:rsid w:val="0035230E"/>
    <w:rsid w:val="00352370"/>
    <w:rsid w:val="003532AE"/>
    <w:rsid w:val="003536E8"/>
    <w:rsid w:val="00353CB9"/>
    <w:rsid w:val="0036128D"/>
    <w:rsid w:val="00364704"/>
    <w:rsid w:val="00367F5E"/>
    <w:rsid w:val="0037143E"/>
    <w:rsid w:val="0037326F"/>
    <w:rsid w:val="00373F4E"/>
    <w:rsid w:val="00374809"/>
    <w:rsid w:val="003772C9"/>
    <w:rsid w:val="00380E6E"/>
    <w:rsid w:val="00381AAD"/>
    <w:rsid w:val="00382F53"/>
    <w:rsid w:val="0038532D"/>
    <w:rsid w:val="00386755"/>
    <w:rsid w:val="0038760C"/>
    <w:rsid w:val="0039057D"/>
    <w:rsid w:val="003920CF"/>
    <w:rsid w:val="00393F0E"/>
    <w:rsid w:val="003950F0"/>
    <w:rsid w:val="00396E4E"/>
    <w:rsid w:val="003A06C0"/>
    <w:rsid w:val="003A0834"/>
    <w:rsid w:val="003A2261"/>
    <w:rsid w:val="003A2FC7"/>
    <w:rsid w:val="003A30F0"/>
    <w:rsid w:val="003A45A0"/>
    <w:rsid w:val="003A760D"/>
    <w:rsid w:val="003A7B41"/>
    <w:rsid w:val="003B25D9"/>
    <w:rsid w:val="003B7ECB"/>
    <w:rsid w:val="003C437A"/>
    <w:rsid w:val="003C586C"/>
    <w:rsid w:val="003C6F1B"/>
    <w:rsid w:val="003D0706"/>
    <w:rsid w:val="003D172A"/>
    <w:rsid w:val="003D422D"/>
    <w:rsid w:val="003D45A0"/>
    <w:rsid w:val="003D4F42"/>
    <w:rsid w:val="003D5086"/>
    <w:rsid w:val="003D7E80"/>
    <w:rsid w:val="003E0E3A"/>
    <w:rsid w:val="003E291D"/>
    <w:rsid w:val="003E3E3F"/>
    <w:rsid w:val="003E4222"/>
    <w:rsid w:val="003E5926"/>
    <w:rsid w:val="003E7043"/>
    <w:rsid w:val="003E7DA9"/>
    <w:rsid w:val="003F0334"/>
    <w:rsid w:val="003F0AC0"/>
    <w:rsid w:val="003F1D30"/>
    <w:rsid w:val="003F1F8B"/>
    <w:rsid w:val="003F6B1B"/>
    <w:rsid w:val="003F78DD"/>
    <w:rsid w:val="004029F2"/>
    <w:rsid w:val="0040414A"/>
    <w:rsid w:val="0040531F"/>
    <w:rsid w:val="00407B09"/>
    <w:rsid w:val="00407C89"/>
    <w:rsid w:val="00411C01"/>
    <w:rsid w:val="0041217C"/>
    <w:rsid w:val="0041384B"/>
    <w:rsid w:val="0041455F"/>
    <w:rsid w:val="00415075"/>
    <w:rsid w:val="004161A4"/>
    <w:rsid w:val="00417A03"/>
    <w:rsid w:val="0042035F"/>
    <w:rsid w:val="00420685"/>
    <w:rsid w:val="004248DD"/>
    <w:rsid w:val="00424CCD"/>
    <w:rsid w:val="00424EBE"/>
    <w:rsid w:val="00425FF5"/>
    <w:rsid w:val="00427253"/>
    <w:rsid w:val="0043155C"/>
    <w:rsid w:val="00432E7D"/>
    <w:rsid w:val="00432EE9"/>
    <w:rsid w:val="00434690"/>
    <w:rsid w:val="00435695"/>
    <w:rsid w:val="00436493"/>
    <w:rsid w:val="00437290"/>
    <w:rsid w:val="00440797"/>
    <w:rsid w:val="00445B60"/>
    <w:rsid w:val="004504A0"/>
    <w:rsid w:val="00451719"/>
    <w:rsid w:val="00455F3B"/>
    <w:rsid w:val="004667AF"/>
    <w:rsid w:val="00467430"/>
    <w:rsid w:val="0047195E"/>
    <w:rsid w:val="00472069"/>
    <w:rsid w:val="004722F2"/>
    <w:rsid w:val="00475972"/>
    <w:rsid w:val="00475ECA"/>
    <w:rsid w:val="00477CF2"/>
    <w:rsid w:val="00481999"/>
    <w:rsid w:val="00482A26"/>
    <w:rsid w:val="00482FE7"/>
    <w:rsid w:val="00486C78"/>
    <w:rsid w:val="0049124D"/>
    <w:rsid w:val="004A0424"/>
    <w:rsid w:val="004A4CF3"/>
    <w:rsid w:val="004B0F13"/>
    <w:rsid w:val="004B568C"/>
    <w:rsid w:val="004C0716"/>
    <w:rsid w:val="004C3D77"/>
    <w:rsid w:val="004C3D9E"/>
    <w:rsid w:val="004C4EFC"/>
    <w:rsid w:val="004C4F0E"/>
    <w:rsid w:val="004C526E"/>
    <w:rsid w:val="004C5D9A"/>
    <w:rsid w:val="004C7EAD"/>
    <w:rsid w:val="004D0CD7"/>
    <w:rsid w:val="004D2A38"/>
    <w:rsid w:val="004D420B"/>
    <w:rsid w:val="004D567C"/>
    <w:rsid w:val="004D5E7A"/>
    <w:rsid w:val="004D6474"/>
    <w:rsid w:val="004F530F"/>
    <w:rsid w:val="00501185"/>
    <w:rsid w:val="00501A70"/>
    <w:rsid w:val="00512650"/>
    <w:rsid w:val="0051547C"/>
    <w:rsid w:val="00515934"/>
    <w:rsid w:val="00521123"/>
    <w:rsid w:val="00522FAB"/>
    <w:rsid w:val="00526BEC"/>
    <w:rsid w:val="00530005"/>
    <w:rsid w:val="005304A3"/>
    <w:rsid w:val="00531B6E"/>
    <w:rsid w:val="00534C87"/>
    <w:rsid w:val="00536237"/>
    <w:rsid w:val="00536EBB"/>
    <w:rsid w:val="00537872"/>
    <w:rsid w:val="00537C21"/>
    <w:rsid w:val="0054065B"/>
    <w:rsid w:val="005424C6"/>
    <w:rsid w:val="00543667"/>
    <w:rsid w:val="00551C16"/>
    <w:rsid w:val="00552BBF"/>
    <w:rsid w:val="00552C03"/>
    <w:rsid w:val="005536B4"/>
    <w:rsid w:val="00554417"/>
    <w:rsid w:val="00554A82"/>
    <w:rsid w:val="0056074D"/>
    <w:rsid w:val="005618E1"/>
    <w:rsid w:val="00561F95"/>
    <w:rsid w:val="00562F67"/>
    <w:rsid w:val="005652B9"/>
    <w:rsid w:val="00566B75"/>
    <w:rsid w:val="00566E6A"/>
    <w:rsid w:val="00567BCE"/>
    <w:rsid w:val="00571AE1"/>
    <w:rsid w:val="0058200D"/>
    <w:rsid w:val="005825AF"/>
    <w:rsid w:val="00585528"/>
    <w:rsid w:val="00591823"/>
    <w:rsid w:val="005921CF"/>
    <w:rsid w:val="00597F68"/>
    <w:rsid w:val="005A0D4D"/>
    <w:rsid w:val="005A1A83"/>
    <w:rsid w:val="005A350C"/>
    <w:rsid w:val="005B3AD2"/>
    <w:rsid w:val="005B423D"/>
    <w:rsid w:val="005B67F0"/>
    <w:rsid w:val="005B7088"/>
    <w:rsid w:val="005B719E"/>
    <w:rsid w:val="005B7C7D"/>
    <w:rsid w:val="005C3E4A"/>
    <w:rsid w:val="005C3ED9"/>
    <w:rsid w:val="005C4E71"/>
    <w:rsid w:val="005C5AD3"/>
    <w:rsid w:val="005D3CE1"/>
    <w:rsid w:val="005D7F29"/>
    <w:rsid w:val="005E0313"/>
    <w:rsid w:val="005E0D83"/>
    <w:rsid w:val="005E2C20"/>
    <w:rsid w:val="005E324A"/>
    <w:rsid w:val="005E57A8"/>
    <w:rsid w:val="005E5B92"/>
    <w:rsid w:val="005E5F6F"/>
    <w:rsid w:val="005E69A5"/>
    <w:rsid w:val="005E6AD7"/>
    <w:rsid w:val="005F119F"/>
    <w:rsid w:val="005F1DCB"/>
    <w:rsid w:val="005F21AF"/>
    <w:rsid w:val="005F23D1"/>
    <w:rsid w:val="005F33CD"/>
    <w:rsid w:val="005F78B1"/>
    <w:rsid w:val="00601A5C"/>
    <w:rsid w:val="00603204"/>
    <w:rsid w:val="00606755"/>
    <w:rsid w:val="006076BF"/>
    <w:rsid w:val="006102C7"/>
    <w:rsid w:val="0061070C"/>
    <w:rsid w:val="00610943"/>
    <w:rsid w:val="00613624"/>
    <w:rsid w:val="006231D7"/>
    <w:rsid w:val="006251D1"/>
    <w:rsid w:val="006252A2"/>
    <w:rsid w:val="00625D34"/>
    <w:rsid w:val="0062691D"/>
    <w:rsid w:val="00627202"/>
    <w:rsid w:val="00631AD1"/>
    <w:rsid w:val="00632BE7"/>
    <w:rsid w:val="00633841"/>
    <w:rsid w:val="00633FA9"/>
    <w:rsid w:val="00634227"/>
    <w:rsid w:val="00635597"/>
    <w:rsid w:val="0064350E"/>
    <w:rsid w:val="00644854"/>
    <w:rsid w:val="00644D3F"/>
    <w:rsid w:val="00650E1D"/>
    <w:rsid w:val="00653722"/>
    <w:rsid w:val="00654045"/>
    <w:rsid w:val="0065431C"/>
    <w:rsid w:val="006574ED"/>
    <w:rsid w:val="0066153C"/>
    <w:rsid w:val="00661FCB"/>
    <w:rsid w:val="0066244E"/>
    <w:rsid w:val="0066299C"/>
    <w:rsid w:val="006629EB"/>
    <w:rsid w:val="00663E46"/>
    <w:rsid w:val="00664F88"/>
    <w:rsid w:val="00666429"/>
    <w:rsid w:val="00666F52"/>
    <w:rsid w:val="006748B6"/>
    <w:rsid w:val="0067555D"/>
    <w:rsid w:val="006766DC"/>
    <w:rsid w:val="00677B4E"/>
    <w:rsid w:val="00682FEF"/>
    <w:rsid w:val="00684979"/>
    <w:rsid w:val="00690958"/>
    <w:rsid w:val="00693FB3"/>
    <w:rsid w:val="006956A9"/>
    <w:rsid w:val="006A44EB"/>
    <w:rsid w:val="006A4F40"/>
    <w:rsid w:val="006B014C"/>
    <w:rsid w:val="006B37CE"/>
    <w:rsid w:val="006B39F2"/>
    <w:rsid w:val="006B3AE5"/>
    <w:rsid w:val="006B3E32"/>
    <w:rsid w:val="006B44A5"/>
    <w:rsid w:val="006C27FE"/>
    <w:rsid w:val="006C4528"/>
    <w:rsid w:val="006C55F2"/>
    <w:rsid w:val="006C6291"/>
    <w:rsid w:val="006D4EEE"/>
    <w:rsid w:val="006D5437"/>
    <w:rsid w:val="006D7483"/>
    <w:rsid w:val="006D7B5E"/>
    <w:rsid w:val="006E0980"/>
    <w:rsid w:val="006E1014"/>
    <w:rsid w:val="006E11F6"/>
    <w:rsid w:val="006E13BB"/>
    <w:rsid w:val="006E1FA5"/>
    <w:rsid w:val="006E4D21"/>
    <w:rsid w:val="006E65FC"/>
    <w:rsid w:val="006F232D"/>
    <w:rsid w:val="006F467B"/>
    <w:rsid w:val="007004F8"/>
    <w:rsid w:val="0070207F"/>
    <w:rsid w:val="007021AD"/>
    <w:rsid w:val="00703D87"/>
    <w:rsid w:val="00705007"/>
    <w:rsid w:val="00705276"/>
    <w:rsid w:val="007058C5"/>
    <w:rsid w:val="007067AA"/>
    <w:rsid w:val="00712116"/>
    <w:rsid w:val="007132CA"/>
    <w:rsid w:val="0071452F"/>
    <w:rsid w:val="007171ED"/>
    <w:rsid w:val="007205BF"/>
    <w:rsid w:val="00721DC9"/>
    <w:rsid w:val="007221E5"/>
    <w:rsid w:val="007224CB"/>
    <w:rsid w:val="00724D14"/>
    <w:rsid w:val="007269D0"/>
    <w:rsid w:val="00726F49"/>
    <w:rsid w:val="0072772D"/>
    <w:rsid w:val="00727B34"/>
    <w:rsid w:val="00733C22"/>
    <w:rsid w:val="00736CFB"/>
    <w:rsid w:val="00737059"/>
    <w:rsid w:val="0073794A"/>
    <w:rsid w:val="00737C5C"/>
    <w:rsid w:val="00745005"/>
    <w:rsid w:val="00747EDA"/>
    <w:rsid w:val="00752297"/>
    <w:rsid w:val="00752626"/>
    <w:rsid w:val="00752C86"/>
    <w:rsid w:val="00752F1A"/>
    <w:rsid w:val="00753DD4"/>
    <w:rsid w:val="007551E0"/>
    <w:rsid w:val="00755C49"/>
    <w:rsid w:val="00756872"/>
    <w:rsid w:val="007643DA"/>
    <w:rsid w:val="0077621B"/>
    <w:rsid w:val="00777ACA"/>
    <w:rsid w:val="00777C7E"/>
    <w:rsid w:val="00782598"/>
    <w:rsid w:val="00783136"/>
    <w:rsid w:val="00783812"/>
    <w:rsid w:val="00785611"/>
    <w:rsid w:val="00791CC4"/>
    <w:rsid w:val="00796780"/>
    <w:rsid w:val="007979BC"/>
    <w:rsid w:val="007A00B8"/>
    <w:rsid w:val="007A383B"/>
    <w:rsid w:val="007A3B7E"/>
    <w:rsid w:val="007A5134"/>
    <w:rsid w:val="007A55F7"/>
    <w:rsid w:val="007B522C"/>
    <w:rsid w:val="007C1920"/>
    <w:rsid w:val="007C3A42"/>
    <w:rsid w:val="007C7599"/>
    <w:rsid w:val="007D4AF3"/>
    <w:rsid w:val="007E6E77"/>
    <w:rsid w:val="007F1D2E"/>
    <w:rsid w:val="00803F1F"/>
    <w:rsid w:val="0080482F"/>
    <w:rsid w:val="00806392"/>
    <w:rsid w:val="008067BC"/>
    <w:rsid w:val="00816A4B"/>
    <w:rsid w:val="00820DE3"/>
    <w:rsid w:val="00821201"/>
    <w:rsid w:val="00822887"/>
    <w:rsid w:val="00823257"/>
    <w:rsid w:val="00824A60"/>
    <w:rsid w:val="00824EF9"/>
    <w:rsid w:val="008266B1"/>
    <w:rsid w:val="0083098D"/>
    <w:rsid w:val="0083220B"/>
    <w:rsid w:val="008356C4"/>
    <w:rsid w:val="00836A3E"/>
    <w:rsid w:val="00837726"/>
    <w:rsid w:val="00840850"/>
    <w:rsid w:val="0084162F"/>
    <w:rsid w:val="00842000"/>
    <w:rsid w:val="00843CEB"/>
    <w:rsid w:val="00844481"/>
    <w:rsid w:val="00845953"/>
    <w:rsid w:val="00846B9D"/>
    <w:rsid w:val="00854BBF"/>
    <w:rsid w:val="00856692"/>
    <w:rsid w:val="00856926"/>
    <w:rsid w:val="00863141"/>
    <w:rsid w:val="00864241"/>
    <w:rsid w:val="008648FD"/>
    <w:rsid w:val="008667EA"/>
    <w:rsid w:val="008705F4"/>
    <w:rsid w:val="008709A7"/>
    <w:rsid w:val="00871C77"/>
    <w:rsid w:val="008760E6"/>
    <w:rsid w:val="00877F99"/>
    <w:rsid w:val="00880D9C"/>
    <w:rsid w:val="00882FB0"/>
    <w:rsid w:val="00883830"/>
    <w:rsid w:val="00884505"/>
    <w:rsid w:val="00885893"/>
    <w:rsid w:val="00887E08"/>
    <w:rsid w:val="008A2408"/>
    <w:rsid w:val="008B183E"/>
    <w:rsid w:val="008B5AFF"/>
    <w:rsid w:val="008B6778"/>
    <w:rsid w:val="008C01F0"/>
    <w:rsid w:val="008C7076"/>
    <w:rsid w:val="008C7DB7"/>
    <w:rsid w:val="008D3A8F"/>
    <w:rsid w:val="008D3CF5"/>
    <w:rsid w:val="008D3EA9"/>
    <w:rsid w:val="008D6B4A"/>
    <w:rsid w:val="008D6CD0"/>
    <w:rsid w:val="008E3C82"/>
    <w:rsid w:val="008E3CEB"/>
    <w:rsid w:val="008E7616"/>
    <w:rsid w:val="008F4984"/>
    <w:rsid w:val="008F4BF4"/>
    <w:rsid w:val="00901E26"/>
    <w:rsid w:val="009028D4"/>
    <w:rsid w:val="0090310F"/>
    <w:rsid w:val="0090456C"/>
    <w:rsid w:val="00904878"/>
    <w:rsid w:val="00907134"/>
    <w:rsid w:val="009100F0"/>
    <w:rsid w:val="00922205"/>
    <w:rsid w:val="00926ADB"/>
    <w:rsid w:val="00926FB7"/>
    <w:rsid w:val="009313E2"/>
    <w:rsid w:val="00933E9B"/>
    <w:rsid w:val="00935615"/>
    <w:rsid w:val="00937708"/>
    <w:rsid w:val="009402CB"/>
    <w:rsid w:val="00941B42"/>
    <w:rsid w:val="00944641"/>
    <w:rsid w:val="009509DF"/>
    <w:rsid w:val="00956AE2"/>
    <w:rsid w:val="00956F0C"/>
    <w:rsid w:val="00962E16"/>
    <w:rsid w:val="00963A4C"/>
    <w:rsid w:val="009646A8"/>
    <w:rsid w:val="00967316"/>
    <w:rsid w:val="00972594"/>
    <w:rsid w:val="00973F42"/>
    <w:rsid w:val="0097411E"/>
    <w:rsid w:val="00975B3F"/>
    <w:rsid w:val="009778EF"/>
    <w:rsid w:val="009801DC"/>
    <w:rsid w:val="00983E13"/>
    <w:rsid w:val="00986C81"/>
    <w:rsid w:val="00986D00"/>
    <w:rsid w:val="00986F69"/>
    <w:rsid w:val="00987548"/>
    <w:rsid w:val="00991EFC"/>
    <w:rsid w:val="00993EFF"/>
    <w:rsid w:val="009955FF"/>
    <w:rsid w:val="00997C1A"/>
    <w:rsid w:val="00997FA5"/>
    <w:rsid w:val="009A19C6"/>
    <w:rsid w:val="009A1EC8"/>
    <w:rsid w:val="009A217E"/>
    <w:rsid w:val="009A264C"/>
    <w:rsid w:val="009A289D"/>
    <w:rsid w:val="009A552C"/>
    <w:rsid w:val="009A750C"/>
    <w:rsid w:val="009B32DD"/>
    <w:rsid w:val="009B3663"/>
    <w:rsid w:val="009B4183"/>
    <w:rsid w:val="009B4276"/>
    <w:rsid w:val="009B4A16"/>
    <w:rsid w:val="009B4D3E"/>
    <w:rsid w:val="009B557A"/>
    <w:rsid w:val="009C033C"/>
    <w:rsid w:val="009C1E37"/>
    <w:rsid w:val="009C41C4"/>
    <w:rsid w:val="009C695B"/>
    <w:rsid w:val="009C7ACA"/>
    <w:rsid w:val="009D32E1"/>
    <w:rsid w:val="009D5612"/>
    <w:rsid w:val="009D5FA8"/>
    <w:rsid w:val="009E18BF"/>
    <w:rsid w:val="009E2C5C"/>
    <w:rsid w:val="009E5C76"/>
    <w:rsid w:val="009E6CB3"/>
    <w:rsid w:val="009E7D2A"/>
    <w:rsid w:val="009F5E3A"/>
    <w:rsid w:val="00A003A4"/>
    <w:rsid w:val="00A01462"/>
    <w:rsid w:val="00A0275D"/>
    <w:rsid w:val="00A02948"/>
    <w:rsid w:val="00A07FB4"/>
    <w:rsid w:val="00A10A2B"/>
    <w:rsid w:val="00A10FE8"/>
    <w:rsid w:val="00A16196"/>
    <w:rsid w:val="00A17F24"/>
    <w:rsid w:val="00A20E6A"/>
    <w:rsid w:val="00A20F9A"/>
    <w:rsid w:val="00A265B0"/>
    <w:rsid w:val="00A30895"/>
    <w:rsid w:val="00A30CF6"/>
    <w:rsid w:val="00A33259"/>
    <w:rsid w:val="00A33569"/>
    <w:rsid w:val="00A408C9"/>
    <w:rsid w:val="00A4261E"/>
    <w:rsid w:val="00A428BD"/>
    <w:rsid w:val="00A43102"/>
    <w:rsid w:val="00A433CD"/>
    <w:rsid w:val="00A43763"/>
    <w:rsid w:val="00A457D1"/>
    <w:rsid w:val="00A45FA8"/>
    <w:rsid w:val="00A46760"/>
    <w:rsid w:val="00A473BE"/>
    <w:rsid w:val="00A53409"/>
    <w:rsid w:val="00A53608"/>
    <w:rsid w:val="00A60FAD"/>
    <w:rsid w:val="00A61571"/>
    <w:rsid w:val="00A61D4C"/>
    <w:rsid w:val="00A62672"/>
    <w:rsid w:val="00A63F3E"/>
    <w:rsid w:val="00A641EB"/>
    <w:rsid w:val="00A6660A"/>
    <w:rsid w:val="00A702D8"/>
    <w:rsid w:val="00A744C0"/>
    <w:rsid w:val="00A750BA"/>
    <w:rsid w:val="00A827E2"/>
    <w:rsid w:val="00A82DA4"/>
    <w:rsid w:val="00A8428E"/>
    <w:rsid w:val="00A86BCE"/>
    <w:rsid w:val="00A931E1"/>
    <w:rsid w:val="00A96096"/>
    <w:rsid w:val="00AA0AD0"/>
    <w:rsid w:val="00AA1266"/>
    <w:rsid w:val="00AA1EA1"/>
    <w:rsid w:val="00AA30C2"/>
    <w:rsid w:val="00AA4928"/>
    <w:rsid w:val="00AA4A4A"/>
    <w:rsid w:val="00AA5AD4"/>
    <w:rsid w:val="00AB5A81"/>
    <w:rsid w:val="00AB72C6"/>
    <w:rsid w:val="00AB75EC"/>
    <w:rsid w:val="00AC10F6"/>
    <w:rsid w:val="00AC12DC"/>
    <w:rsid w:val="00AC1727"/>
    <w:rsid w:val="00AC3A40"/>
    <w:rsid w:val="00AC47E2"/>
    <w:rsid w:val="00AD06D0"/>
    <w:rsid w:val="00AD747D"/>
    <w:rsid w:val="00AE041F"/>
    <w:rsid w:val="00AE1CCC"/>
    <w:rsid w:val="00AE4397"/>
    <w:rsid w:val="00AF5CDC"/>
    <w:rsid w:val="00AF7A40"/>
    <w:rsid w:val="00B05678"/>
    <w:rsid w:val="00B07B19"/>
    <w:rsid w:val="00B128A2"/>
    <w:rsid w:val="00B1519C"/>
    <w:rsid w:val="00B174E8"/>
    <w:rsid w:val="00B254E5"/>
    <w:rsid w:val="00B2739D"/>
    <w:rsid w:val="00B27BAD"/>
    <w:rsid w:val="00B301ED"/>
    <w:rsid w:val="00B3030E"/>
    <w:rsid w:val="00B31127"/>
    <w:rsid w:val="00B328A6"/>
    <w:rsid w:val="00B334EA"/>
    <w:rsid w:val="00B33992"/>
    <w:rsid w:val="00B35BF4"/>
    <w:rsid w:val="00B3680A"/>
    <w:rsid w:val="00B3743E"/>
    <w:rsid w:val="00B40F72"/>
    <w:rsid w:val="00B43492"/>
    <w:rsid w:val="00B4393B"/>
    <w:rsid w:val="00B45200"/>
    <w:rsid w:val="00B52160"/>
    <w:rsid w:val="00B521A9"/>
    <w:rsid w:val="00B52E7C"/>
    <w:rsid w:val="00B61447"/>
    <w:rsid w:val="00B65779"/>
    <w:rsid w:val="00B72770"/>
    <w:rsid w:val="00B738D8"/>
    <w:rsid w:val="00B73EC6"/>
    <w:rsid w:val="00B746D6"/>
    <w:rsid w:val="00B74A17"/>
    <w:rsid w:val="00B82B47"/>
    <w:rsid w:val="00B82F2C"/>
    <w:rsid w:val="00B92F0E"/>
    <w:rsid w:val="00B9490A"/>
    <w:rsid w:val="00B94C9C"/>
    <w:rsid w:val="00B94F4E"/>
    <w:rsid w:val="00B95B0B"/>
    <w:rsid w:val="00B970E3"/>
    <w:rsid w:val="00B97856"/>
    <w:rsid w:val="00B97A41"/>
    <w:rsid w:val="00BA12A0"/>
    <w:rsid w:val="00BA1539"/>
    <w:rsid w:val="00BA29B4"/>
    <w:rsid w:val="00BA52B4"/>
    <w:rsid w:val="00BA7A1C"/>
    <w:rsid w:val="00BB4266"/>
    <w:rsid w:val="00BB4AE5"/>
    <w:rsid w:val="00BB52A0"/>
    <w:rsid w:val="00BB59CF"/>
    <w:rsid w:val="00BB63A3"/>
    <w:rsid w:val="00BB737C"/>
    <w:rsid w:val="00BB7A83"/>
    <w:rsid w:val="00BB7EBA"/>
    <w:rsid w:val="00BC2719"/>
    <w:rsid w:val="00BC27E8"/>
    <w:rsid w:val="00BD181B"/>
    <w:rsid w:val="00BD6B98"/>
    <w:rsid w:val="00BE3EEC"/>
    <w:rsid w:val="00BE4D08"/>
    <w:rsid w:val="00BE6DB1"/>
    <w:rsid w:val="00BE73B9"/>
    <w:rsid w:val="00BF0D6B"/>
    <w:rsid w:val="00BF1F11"/>
    <w:rsid w:val="00BF2FCE"/>
    <w:rsid w:val="00BF4E53"/>
    <w:rsid w:val="00C0227C"/>
    <w:rsid w:val="00C0530D"/>
    <w:rsid w:val="00C065B2"/>
    <w:rsid w:val="00C075FB"/>
    <w:rsid w:val="00C07E75"/>
    <w:rsid w:val="00C1033D"/>
    <w:rsid w:val="00C10EBF"/>
    <w:rsid w:val="00C13F88"/>
    <w:rsid w:val="00C16802"/>
    <w:rsid w:val="00C1788E"/>
    <w:rsid w:val="00C22223"/>
    <w:rsid w:val="00C25511"/>
    <w:rsid w:val="00C26CDE"/>
    <w:rsid w:val="00C279F4"/>
    <w:rsid w:val="00C31A3D"/>
    <w:rsid w:val="00C33822"/>
    <w:rsid w:val="00C33AB5"/>
    <w:rsid w:val="00C34B5B"/>
    <w:rsid w:val="00C34D61"/>
    <w:rsid w:val="00C404AF"/>
    <w:rsid w:val="00C41F06"/>
    <w:rsid w:val="00C4350E"/>
    <w:rsid w:val="00C50C77"/>
    <w:rsid w:val="00C527D1"/>
    <w:rsid w:val="00C53B15"/>
    <w:rsid w:val="00C5516A"/>
    <w:rsid w:val="00C55CFC"/>
    <w:rsid w:val="00C5685A"/>
    <w:rsid w:val="00C60F8C"/>
    <w:rsid w:val="00C6581B"/>
    <w:rsid w:val="00C70905"/>
    <w:rsid w:val="00C71D3D"/>
    <w:rsid w:val="00C80781"/>
    <w:rsid w:val="00C82A67"/>
    <w:rsid w:val="00C93F17"/>
    <w:rsid w:val="00C9473B"/>
    <w:rsid w:val="00C95162"/>
    <w:rsid w:val="00C9675B"/>
    <w:rsid w:val="00CA07E7"/>
    <w:rsid w:val="00CA4482"/>
    <w:rsid w:val="00CA45B5"/>
    <w:rsid w:val="00CA4761"/>
    <w:rsid w:val="00CA4D56"/>
    <w:rsid w:val="00CA53D3"/>
    <w:rsid w:val="00CB09C7"/>
    <w:rsid w:val="00CB4B18"/>
    <w:rsid w:val="00CB6379"/>
    <w:rsid w:val="00CC2065"/>
    <w:rsid w:val="00CC6108"/>
    <w:rsid w:val="00CD07F4"/>
    <w:rsid w:val="00CD15ED"/>
    <w:rsid w:val="00CD1690"/>
    <w:rsid w:val="00CD2085"/>
    <w:rsid w:val="00CD2CF3"/>
    <w:rsid w:val="00CD5CA5"/>
    <w:rsid w:val="00CE248A"/>
    <w:rsid w:val="00CE508D"/>
    <w:rsid w:val="00CE60EE"/>
    <w:rsid w:val="00CE70EE"/>
    <w:rsid w:val="00CF070F"/>
    <w:rsid w:val="00CF67FE"/>
    <w:rsid w:val="00D00F79"/>
    <w:rsid w:val="00D13DEB"/>
    <w:rsid w:val="00D15DAF"/>
    <w:rsid w:val="00D17D54"/>
    <w:rsid w:val="00D212E8"/>
    <w:rsid w:val="00D21E3D"/>
    <w:rsid w:val="00D26978"/>
    <w:rsid w:val="00D43164"/>
    <w:rsid w:val="00D44738"/>
    <w:rsid w:val="00D45FFA"/>
    <w:rsid w:val="00D4626B"/>
    <w:rsid w:val="00D463EA"/>
    <w:rsid w:val="00D4774B"/>
    <w:rsid w:val="00D51006"/>
    <w:rsid w:val="00D514E5"/>
    <w:rsid w:val="00D5167A"/>
    <w:rsid w:val="00D523F6"/>
    <w:rsid w:val="00D55383"/>
    <w:rsid w:val="00D55C1F"/>
    <w:rsid w:val="00D56C42"/>
    <w:rsid w:val="00D622CD"/>
    <w:rsid w:val="00D63A49"/>
    <w:rsid w:val="00D648A4"/>
    <w:rsid w:val="00D64D35"/>
    <w:rsid w:val="00D66538"/>
    <w:rsid w:val="00D66CC8"/>
    <w:rsid w:val="00D66F3A"/>
    <w:rsid w:val="00D67DCD"/>
    <w:rsid w:val="00D67E19"/>
    <w:rsid w:val="00D71828"/>
    <w:rsid w:val="00D73CB2"/>
    <w:rsid w:val="00D7497E"/>
    <w:rsid w:val="00D75F9A"/>
    <w:rsid w:val="00D82419"/>
    <w:rsid w:val="00D82F30"/>
    <w:rsid w:val="00D836C5"/>
    <w:rsid w:val="00D85714"/>
    <w:rsid w:val="00D87269"/>
    <w:rsid w:val="00D925AF"/>
    <w:rsid w:val="00D96D0B"/>
    <w:rsid w:val="00DA0EE8"/>
    <w:rsid w:val="00DA29F3"/>
    <w:rsid w:val="00DA5153"/>
    <w:rsid w:val="00DB0453"/>
    <w:rsid w:val="00DB090E"/>
    <w:rsid w:val="00DB13A9"/>
    <w:rsid w:val="00DB1448"/>
    <w:rsid w:val="00DB3884"/>
    <w:rsid w:val="00DC3621"/>
    <w:rsid w:val="00DC49C7"/>
    <w:rsid w:val="00DC6182"/>
    <w:rsid w:val="00DD1AEC"/>
    <w:rsid w:val="00DD3496"/>
    <w:rsid w:val="00DD7EED"/>
    <w:rsid w:val="00DE1F0F"/>
    <w:rsid w:val="00DE2636"/>
    <w:rsid w:val="00DE2CC6"/>
    <w:rsid w:val="00DE3422"/>
    <w:rsid w:val="00DE5039"/>
    <w:rsid w:val="00DF0E14"/>
    <w:rsid w:val="00DF41E1"/>
    <w:rsid w:val="00DF4411"/>
    <w:rsid w:val="00E06076"/>
    <w:rsid w:val="00E06291"/>
    <w:rsid w:val="00E06ABE"/>
    <w:rsid w:val="00E07C50"/>
    <w:rsid w:val="00E11344"/>
    <w:rsid w:val="00E11F43"/>
    <w:rsid w:val="00E12EC0"/>
    <w:rsid w:val="00E17CEE"/>
    <w:rsid w:val="00E20282"/>
    <w:rsid w:val="00E20B80"/>
    <w:rsid w:val="00E21473"/>
    <w:rsid w:val="00E22F97"/>
    <w:rsid w:val="00E24D06"/>
    <w:rsid w:val="00E24E39"/>
    <w:rsid w:val="00E35914"/>
    <w:rsid w:val="00E416B4"/>
    <w:rsid w:val="00E45461"/>
    <w:rsid w:val="00E47061"/>
    <w:rsid w:val="00E4765D"/>
    <w:rsid w:val="00E55B2E"/>
    <w:rsid w:val="00E56166"/>
    <w:rsid w:val="00E6184E"/>
    <w:rsid w:val="00E6342C"/>
    <w:rsid w:val="00E6571E"/>
    <w:rsid w:val="00E70935"/>
    <w:rsid w:val="00E71971"/>
    <w:rsid w:val="00E71E20"/>
    <w:rsid w:val="00E73D30"/>
    <w:rsid w:val="00E807F6"/>
    <w:rsid w:val="00E91521"/>
    <w:rsid w:val="00E93DE8"/>
    <w:rsid w:val="00E96654"/>
    <w:rsid w:val="00E976E7"/>
    <w:rsid w:val="00EA004C"/>
    <w:rsid w:val="00EA385D"/>
    <w:rsid w:val="00EA3ED3"/>
    <w:rsid w:val="00EA3FF4"/>
    <w:rsid w:val="00EA436E"/>
    <w:rsid w:val="00EB32EA"/>
    <w:rsid w:val="00EB36A3"/>
    <w:rsid w:val="00EC0F42"/>
    <w:rsid w:val="00EC1FBA"/>
    <w:rsid w:val="00EC5BE7"/>
    <w:rsid w:val="00ED1F0C"/>
    <w:rsid w:val="00ED2813"/>
    <w:rsid w:val="00ED32FC"/>
    <w:rsid w:val="00ED6799"/>
    <w:rsid w:val="00EE163B"/>
    <w:rsid w:val="00EE2F72"/>
    <w:rsid w:val="00EE5AF1"/>
    <w:rsid w:val="00EE71DC"/>
    <w:rsid w:val="00EE7792"/>
    <w:rsid w:val="00EF21AF"/>
    <w:rsid w:val="00EF3D57"/>
    <w:rsid w:val="00EF3D5A"/>
    <w:rsid w:val="00EF58B6"/>
    <w:rsid w:val="00EF59D3"/>
    <w:rsid w:val="00EF7827"/>
    <w:rsid w:val="00F0538F"/>
    <w:rsid w:val="00F101B7"/>
    <w:rsid w:val="00F11C0F"/>
    <w:rsid w:val="00F147EF"/>
    <w:rsid w:val="00F17524"/>
    <w:rsid w:val="00F22642"/>
    <w:rsid w:val="00F23BAA"/>
    <w:rsid w:val="00F26F4C"/>
    <w:rsid w:val="00F306C3"/>
    <w:rsid w:val="00F31CF7"/>
    <w:rsid w:val="00F3447D"/>
    <w:rsid w:val="00F35190"/>
    <w:rsid w:val="00F361A9"/>
    <w:rsid w:val="00F36BA2"/>
    <w:rsid w:val="00F4036C"/>
    <w:rsid w:val="00F40E95"/>
    <w:rsid w:val="00F413DF"/>
    <w:rsid w:val="00F41855"/>
    <w:rsid w:val="00F42246"/>
    <w:rsid w:val="00F43E92"/>
    <w:rsid w:val="00F4461C"/>
    <w:rsid w:val="00F44A5B"/>
    <w:rsid w:val="00F50120"/>
    <w:rsid w:val="00F50E7D"/>
    <w:rsid w:val="00F52DBB"/>
    <w:rsid w:val="00F53908"/>
    <w:rsid w:val="00F54385"/>
    <w:rsid w:val="00F54B0D"/>
    <w:rsid w:val="00F56EEE"/>
    <w:rsid w:val="00F6226F"/>
    <w:rsid w:val="00F705F3"/>
    <w:rsid w:val="00F719D5"/>
    <w:rsid w:val="00F73B05"/>
    <w:rsid w:val="00F74788"/>
    <w:rsid w:val="00F748E3"/>
    <w:rsid w:val="00F75E0A"/>
    <w:rsid w:val="00F76B54"/>
    <w:rsid w:val="00F82E1A"/>
    <w:rsid w:val="00F86C95"/>
    <w:rsid w:val="00F87D4A"/>
    <w:rsid w:val="00F90471"/>
    <w:rsid w:val="00F92AF1"/>
    <w:rsid w:val="00F945DC"/>
    <w:rsid w:val="00F94F7C"/>
    <w:rsid w:val="00F969B4"/>
    <w:rsid w:val="00FA13A1"/>
    <w:rsid w:val="00FA1424"/>
    <w:rsid w:val="00FA1ABC"/>
    <w:rsid w:val="00FA3422"/>
    <w:rsid w:val="00FA342F"/>
    <w:rsid w:val="00FA3C66"/>
    <w:rsid w:val="00FA4038"/>
    <w:rsid w:val="00FA49CA"/>
    <w:rsid w:val="00FA5A6E"/>
    <w:rsid w:val="00FA7BF3"/>
    <w:rsid w:val="00FB0423"/>
    <w:rsid w:val="00FB0ADB"/>
    <w:rsid w:val="00FB4596"/>
    <w:rsid w:val="00FB6894"/>
    <w:rsid w:val="00FB68B2"/>
    <w:rsid w:val="00FC3F16"/>
    <w:rsid w:val="00FD2DBD"/>
    <w:rsid w:val="00FE13D9"/>
    <w:rsid w:val="00FE1490"/>
    <w:rsid w:val="00FE46F7"/>
    <w:rsid w:val="00FE518F"/>
    <w:rsid w:val="00FF2726"/>
    <w:rsid w:val="00FF4039"/>
    <w:rsid w:val="00FF7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8AECB"/>
  <w15:docId w15:val="{77CD1C0C-AD9E-4184-915A-A04DC3DF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2"/>
      <w:lang w:val="en-US" w:eastAsia="en-US"/>
    </w:rPr>
  </w:style>
  <w:style w:type="paragraph" w:styleId="Heading1">
    <w:name w:val="heading 1"/>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pPr>
    <w:rPr>
      <w:sz w:val="24"/>
      <w:lang w:val="en-GB"/>
    </w:rPr>
  </w:style>
  <w:style w:type="paragraph" w:styleId="Heading2">
    <w:name w:val="heading 2"/>
    <w:basedOn w:val="Normal"/>
    <w:next w:val="Normal"/>
    <w:qFormat/>
    <w:pPr>
      <w:keepNext/>
      <w:tabs>
        <w:tab w:val="left" w:pos="-720"/>
        <w:tab w:val="left" w:pos="0"/>
        <w:tab w:val="left" w:pos="2160"/>
        <w:tab w:val="right" w:pos="6048"/>
        <w:tab w:val="right" w:pos="7488"/>
        <w:tab w:val="right" w:pos="8640"/>
        <w:tab w:val="right" w:pos="10080"/>
      </w:tabs>
      <w:jc w:val="both"/>
      <w:outlineLvl w:val="1"/>
    </w:pPr>
    <w:rPr>
      <w:b/>
      <w:sz w:val="24"/>
      <w:lang w:val="en-GB"/>
    </w:rPr>
  </w:style>
  <w:style w:type="paragraph" w:styleId="Heading3">
    <w:name w:val="heading 3"/>
    <w:basedOn w:val="Normal"/>
    <w:next w:val="Normal"/>
    <w:qFormat/>
    <w:pPr>
      <w:keepNext/>
      <w:outlineLvl w:val="2"/>
    </w:pPr>
    <w:rPr>
      <w:rFonts w:ascii="CG Times" w:hAnsi="CG Times"/>
      <w:b/>
    </w:rPr>
  </w:style>
  <w:style w:type="paragraph" w:styleId="Heading4">
    <w:name w:val="heading 4"/>
    <w:basedOn w:val="Normal"/>
    <w:next w:val="Normal"/>
    <w:qFormat/>
    <w:pPr>
      <w:keepNext/>
      <w:tabs>
        <w:tab w:val="left" w:pos="-720"/>
        <w:tab w:val="left" w:pos="0"/>
        <w:tab w:val="left" w:pos="2160"/>
        <w:tab w:val="right" w:pos="3187"/>
        <w:tab w:val="right" w:pos="4581"/>
        <w:tab w:val="right" w:pos="6048"/>
        <w:tab w:val="right" w:pos="7488"/>
        <w:tab w:val="right" w:pos="8640"/>
        <w:tab w:val="right" w:pos="10080"/>
      </w:tabs>
      <w:jc w:val="both"/>
      <w:outlineLvl w:val="3"/>
    </w:pPr>
    <w:rPr>
      <w:sz w:val="24"/>
      <w:u w:val="single"/>
      <w:lang w:val="en-GB"/>
    </w:rPr>
  </w:style>
  <w:style w:type="paragraph" w:styleId="Heading5">
    <w:name w:val="heading 5"/>
    <w:basedOn w:val="Normal"/>
    <w:next w:val="Normal"/>
    <w:qFormat/>
    <w:pPr>
      <w:keepNext/>
      <w:tabs>
        <w:tab w:val="center" w:pos="5233"/>
        <w:tab w:val="right" w:pos="5301"/>
        <w:tab w:val="right" w:pos="6768"/>
        <w:tab w:val="right" w:pos="8190"/>
        <w:tab w:val="right" w:pos="9360"/>
      </w:tabs>
      <w:ind w:right="720"/>
      <w:jc w:val="center"/>
      <w:outlineLvl w:val="4"/>
    </w:pPr>
    <w:rPr>
      <w:b/>
      <w:sz w:val="24"/>
      <w:lang w:val="en-GB"/>
    </w:rPr>
  </w:style>
  <w:style w:type="paragraph" w:styleId="Heading6">
    <w:name w:val="heading 6"/>
    <w:basedOn w:val="Normal"/>
    <w:next w:val="Normal"/>
    <w:qFormat/>
    <w:pPr>
      <w:keepNext/>
      <w:tabs>
        <w:tab w:val="left" w:pos="-374"/>
        <w:tab w:val="left" w:pos="0"/>
        <w:tab w:val="left" w:pos="2160"/>
        <w:tab w:val="right" w:pos="3187"/>
        <w:tab w:val="right" w:pos="4581"/>
        <w:tab w:val="right" w:pos="6048"/>
        <w:tab w:val="right" w:pos="7470"/>
        <w:tab w:val="right" w:pos="8640"/>
        <w:tab w:val="right" w:pos="10080"/>
      </w:tabs>
      <w:outlineLvl w:val="5"/>
    </w:pPr>
    <w:rPr>
      <w:sz w:val="24"/>
      <w:lang w:val="en-GB"/>
    </w:r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6048"/>
        <w:tab w:val="right" w:pos="7488"/>
        <w:tab w:val="right" w:pos="8640"/>
        <w:tab w:val="right" w:pos="10080"/>
      </w:tabs>
      <w:ind w:firstLine="720"/>
      <w:outlineLvl w:val="6"/>
    </w:pPr>
    <w:rPr>
      <w:sz w:val="24"/>
      <w:u w:val="single"/>
      <w:lang w:val="en-GB"/>
    </w:rPr>
  </w:style>
  <w:style w:type="paragraph" w:styleId="Heading8">
    <w:name w:val="heading 8"/>
    <w:basedOn w:val="Normal"/>
    <w:next w:val="Normal"/>
    <w:qFormat/>
    <w:pPr>
      <w:keepNext/>
      <w:numPr>
        <w:numId w:val="1"/>
      </w:numPr>
      <w:tabs>
        <w:tab w:val="left" w:pos="0"/>
        <w:tab w:val="left" w:pos="720"/>
        <w:tab w:val="left" w:pos="1440"/>
        <w:tab w:val="left" w:pos="2160"/>
        <w:tab w:val="left" w:pos="2880"/>
        <w:tab w:val="left" w:pos="3600"/>
        <w:tab w:val="left" w:pos="4320"/>
        <w:tab w:val="left" w:pos="5040"/>
        <w:tab w:val="left" w:pos="6048"/>
        <w:tab w:val="right" w:pos="7488"/>
        <w:tab w:val="right" w:pos="8640"/>
        <w:tab w:val="right" w:pos="10080"/>
      </w:tabs>
      <w:ind w:left="720" w:hanging="720"/>
      <w:outlineLvl w:val="7"/>
    </w:pPr>
    <w:rPr>
      <w:b/>
      <w:sz w:val="24"/>
      <w:lang w:val="en-GB"/>
    </w:rPr>
  </w:style>
  <w:style w:type="paragraph" w:styleId="Heading9">
    <w:name w:val="heading 9"/>
    <w:basedOn w:val="Normal"/>
    <w:next w:val="Normal"/>
    <w:qFormat/>
    <w:pPr>
      <w:keepNext/>
      <w:tabs>
        <w:tab w:val="left" w:pos="-374"/>
        <w:tab w:val="left" w:pos="0"/>
        <w:tab w:val="left" w:pos="2160"/>
        <w:tab w:val="right" w:pos="3187"/>
        <w:tab w:val="right" w:pos="4581"/>
        <w:tab w:val="right" w:pos="6048"/>
        <w:tab w:val="right" w:pos="7470"/>
        <w:tab w:val="right" w:pos="8640"/>
        <w:tab w:val="right" w:pos="10080"/>
      </w:tabs>
      <w:outlineLvl w:val="8"/>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153"/>
        <w:tab w:val="right" w:pos="8306"/>
      </w:tabs>
    </w:pPr>
  </w:style>
  <w:style w:type="paragraph" w:styleId="BodyText">
    <w:name w:val="Body Text"/>
    <w:basedOn w:val="Normal"/>
    <w:pPr>
      <w:tabs>
        <w:tab w:val="left" w:pos="-720"/>
        <w:tab w:val="left" w:pos="0"/>
        <w:tab w:val="left" w:pos="2160"/>
        <w:tab w:val="right" w:pos="3187"/>
        <w:tab w:val="right" w:pos="4581"/>
        <w:tab w:val="right" w:pos="6048"/>
        <w:tab w:val="right" w:pos="7488"/>
        <w:tab w:val="right" w:pos="8640"/>
        <w:tab w:val="right" w:pos="10080"/>
      </w:tabs>
      <w:jc w:val="both"/>
    </w:pPr>
    <w:rPr>
      <w:sz w:val="24"/>
      <w:lang w:val="en-GB"/>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6048"/>
        <w:tab w:val="right" w:pos="7488"/>
        <w:tab w:val="right" w:pos="8640"/>
        <w:tab w:val="right" w:pos="10080"/>
      </w:tabs>
      <w:ind w:left="720" w:hanging="720"/>
    </w:pPr>
    <w:rPr>
      <w:sz w:val="24"/>
      <w:lang w:val="en-GB"/>
    </w:rPr>
  </w:style>
  <w:style w:type="paragraph" w:styleId="BodyTextIndent2">
    <w:name w:val="Body Text Indent 2"/>
    <w:basedOn w:val="Normal"/>
    <w:pPr>
      <w:tabs>
        <w:tab w:val="left" w:pos="0"/>
        <w:tab w:val="left" w:pos="720"/>
        <w:tab w:val="left" w:pos="1440"/>
        <w:tab w:val="left" w:pos="2160"/>
        <w:tab w:val="left" w:pos="2880"/>
        <w:tab w:val="left" w:pos="3600"/>
        <w:tab w:val="left" w:pos="4320"/>
        <w:tab w:val="left" w:pos="5040"/>
        <w:tab w:val="left" w:pos="6048"/>
        <w:tab w:val="right" w:pos="7488"/>
        <w:tab w:val="right" w:pos="8640"/>
        <w:tab w:val="right" w:pos="10080"/>
      </w:tabs>
      <w:ind w:left="720"/>
    </w:pPr>
    <w:rPr>
      <w:sz w:val="24"/>
      <w:lang w:val="en-GB"/>
    </w:r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6048"/>
        <w:tab w:val="right" w:pos="7488"/>
        <w:tab w:val="right" w:pos="8640"/>
        <w:tab w:val="right" w:pos="10080"/>
      </w:tabs>
    </w:pPr>
    <w:rPr>
      <w:sz w:val="24"/>
      <w:lang w:val="en-GB"/>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pPr>
      <w:tabs>
        <w:tab w:val="left" w:pos="-720"/>
        <w:tab w:val="left" w:pos="0"/>
        <w:tab w:val="left" w:pos="2160"/>
        <w:tab w:val="right" w:pos="6048"/>
        <w:tab w:val="right" w:pos="7488"/>
        <w:tab w:val="right" w:pos="8640"/>
        <w:tab w:val="right" w:pos="10080"/>
      </w:tabs>
      <w:jc w:val="both"/>
    </w:pPr>
    <w:rPr>
      <w:lang w:val="en-GB"/>
    </w:rPr>
  </w:style>
  <w:style w:type="paragraph" w:styleId="BodyTextIndent3">
    <w:name w:val="Body Text Indent 3"/>
    <w:basedOn w:val="Normal"/>
    <w:pPr>
      <w:tabs>
        <w:tab w:val="left" w:pos="-720"/>
        <w:tab w:val="left" w:pos="0"/>
        <w:tab w:val="left" w:pos="720"/>
        <w:tab w:val="left" w:pos="1440"/>
        <w:tab w:val="left" w:pos="2160"/>
        <w:tab w:val="left" w:pos="2880"/>
        <w:tab w:val="left" w:pos="3600"/>
        <w:tab w:val="left" w:pos="4320"/>
        <w:tab w:val="left" w:pos="5040"/>
        <w:tab w:val="right" w:pos="6048"/>
        <w:tab w:val="right" w:pos="7488"/>
        <w:tab w:val="right" w:pos="8640"/>
        <w:tab w:val="right" w:pos="10080"/>
      </w:tabs>
      <w:ind w:left="720"/>
    </w:pPr>
    <w:rPr>
      <w:lang w:val="en-GB"/>
    </w:rPr>
  </w:style>
  <w:style w:type="paragraph" w:styleId="BalloonText">
    <w:name w:val="Balloon Text"/>
    <w:basedOn w:val="Normal"/>
    <w:semiHidden/>
    <w:rPr>
      <w:rFonts w:ascii="Tahoma" w:hAnsi="Tahoma" w:cs="Tahoma"/>
      <w:sz w:val="16"/>
      <w:szCs w:val="16"/>
    </w:rPr>
  </w:style>
  <w:style w:type="paragraph" w:customStyle="1" w:styleId="BodySingle">
    <w:name w:val="Body Single"/>
    <w:rPr>
      <w:snapToGrid w:val="0"/>
      <w:color w:val="000000"/>
      <w:sz w:val="24"/>
    </w:rPr>
  </w:style>
  <w:style w:type="character" w:styleId="CommentReference">
    <w:name w:val="annotation reference"/>
    <w:semiHidden/>
    <w:rPr>
      <w:sz w:val="16"/>
    </w:rPr>
  </w:style>
  <w:style w:type="paragraph" w:styleId="CommentText">
    <w:name w:val="annotation text"/>
    <w:basedOn w:val="Normal"/>
    <w:semiHidden/>
    <w:pPr>
      <w:widowControl/>
    </w:pPr>
    <w:rPr>
      <w:rFonts w:ascii="Arial" w:hAnsi="Arial"/>
      <w:snapToGrid/>
      <w:sz w:val="20"/>
      <w:lang w:val="en-GB" w:eastAsia="en-GB"/>
    </w:rPr>
  </w:style>
  <w:style w:type="paragraph" w:customStyle="1" w:styleId="TableSub-heading">
    <w:name w:val="Table Sub-heading"/>
    <w:basedOn w:val="Normal"/>
    <w:pPr>
      <w:widowControl/>
      <w:spacing w:before="120" w:after="120"/>
    </w:pPr>
    <w:rPr>
      <w:rFonts w:ascii="Arial" w:hAnsi="Arial"/>
      <w:snapToGrid/>
      <w:color w:val="008080"/>
      <w:sz w:val="28"/>
      <w:lang w:val="en-GB" w:eastAsia="en-GB"/>
    </w:rPr>
  </w:style>
  <w:style w:type="paragraph" w:customStyle="1" w:styleId="Normal10pt">
    <w:name w:val="Normal + 10 pt"/>
    <w:aliases w:val="Justified,First line:  1.27 cm"/>
    <w:basedOn w:val="Normal"/>
    <w:rsid w:val="0066244E"/>
    <w:pPr>
      <w:tabs>
        <w:tab w:val="left" w:pos="0"/>
        <w:tab w:val="left" w:pos="720"/>
        <w:tab w:val="left" w:pos="1440"/>
        <w:tab w:val="left" w:pos="2160"/>
        <w:tab w:val="left" w:pos="2880"/>
        <w:tab w:val="left" w:pos="3600"/>
        <w:tab w:val="left" w:pos="4320"/>
        <w:tab w:val="left" w:pos="5040"/>
        <w:tab w:val="left" w:pos="6048"/>
        <w:tab w:val="right" w:pos="7488"/>
        <w:tab w:val="right" w:pos="8640"/>
        <w:tab w:val="right" w:pos="10080"/>
      </w:tabs>
      <w:ind w:firstLine="720"/>
      <w:jc w:val="both"/>
    </w:pPr>
    <w:rPr>
      <w:color w:val="000000"/>
      <w:sz w:val="20"/>
      <w:lang w:val="en-GB"/>
    </w:rPr>
  </w:style>
  <w:style w:type="character" w:styleId="Hyperlink">
    <w:name w:val="Hyperlink"/>
    <w:rsid w:val="006E13BB"/>
    <w:rPr>
      <w:b w:val="0"/>
      <w:bCs w:val="0"/>
      <w:color w:val="0000FF"/>
      <w:u w:val="single"/>
    </w:rPr>
  </w:style>
  <w:style w:type="paragraph" w:styleId="DocumentMap">
    <w:name w:val="Document Map"/>
    <w:basedOn w:val="Normal"/>
    <w:semiHidden/>
    <w:rsid w:val="001B0732"/>
    <w:pPr>
      <w:shd w:val="clear" w:color="auto" w:fill="000080"/>
    </w:pPr>
    <w:rPr>
      <w:rFonts w:ascii="Tahoma" w:hAnsi="Tahoma" w:cs="Tahoma"/>
      <w:sz w:val="20"/>
    </w:rPr>
  </w:style>
  <w:style w:type="paragraph" w:customStyle="1" w:styleId="TableText">
    <w:name w:val="Table Text"/>
    <w:basedOn w:val="Normal"/>
    <w:rsid w:val="008D6B4A"/>
    <w:pPr>
      <w:widowControl/>
      <w:spacing w:before="40" w:after="40"/>
    </w:pPr>
    <w:rPr>
      <w:rFonts w:ascii="Arial" w:hAnsi="Arial" w:cs="Arial"/>
      <w:snapToGrid/>
      <w:sz w:val="20"/>
      <w:lang w:val="en-GB" w:eastAsia="en-GB"/>
    </w:rPr>
  </w:style>
  <w:style w:type="paragraph" w:customStyle="1" w:styleId="NormalSingle">
    <w:name w:val="Normal Single"/>
    <w:basedOn w:val="Normal"/>
    <w:link w:val="NormalSingleChar"/>
    <w:rsid w:val="008D6B4A"/>
    <w:pPr>
      <w:widowControl/>
    </w:pPr>
    <w:rPr>
      <w:snapToGrid/>
      <w:sz w:val="24"/>
    </w:rPr>
  </w:style>
  <w:style w:type="character" w:customStyle="1" w:styleId="NormalSingleChar">
    <w:name w:val="Normal Single Char"/>
    <w:link w:val="NormalSingle"/>
    <w:rsid w:val="008D6B4A"/>
    <w:rPr>
      <w:sz w:val="24"/>
    </w:rPr>
  </w:style>
  <w:style w:type="paragraph" w:styleId="Revision">
    <w:name w:val="Revision"/>
    <w:hidden/>
    <w:uiPriority w:val="99"/>
    <w:semiHidden/>
    <w:rsid w:val="0058200D"/>
    <w:rPr>
      <w:snapToGrid w:val="0"/>
      <w:sz w:val="22"/>
      <w:lang w:val="en-US" w:eastAsia="en-US"/>
    </w:rPr>
  </w:style>
  <w:style w:type="paragraph" w:styleId="ListParagraph">
    <w:name w:val="List Paragraph"/>
    <w:basedOn w:val="Normal"/>
    <w:uiPriority w:val="34"/>
    <w:qFormat/>
    <w:rsid w:val="00531B6E"/>
    <w:pPr>
      <w:widowControl/>
      <w:ind w:left="720"/>
      <w:contextualSpacing/>
    </w:pPr>
    <w:rPr>
      <w:snapToGrid/>
      <w:sz w:val="20"/>
      <w:lang w:val="en-GB"/>
    </w:rPr>
  </w:style>
  <w:style w:type="paragraph" w:styleId="NormalWeb">
    <w:name w:val="Normal (Web)"/>
    <w:basedOn w:val="Normal"/>
    <w:uiPriority w:val="99"/>
    <w:unhideWhenUsed/>
    <w:rsid w:val="00756872"/>
    <w:pPr>
      <w:widowControl/>
      <w:spacing w:after="180" w:line="360" w:lineRule="atLeast"/>
    </w:pPr>
    <w:rPr>
      <w:rFonts w:ascii="Trebuchet MS" w:hAnsi="Trebuchet MS"/>
      <w:snapToGrid/>
      <w:color w:val="4D4D4D"/>
      <w:sz w:val="31"/>
      <w:szCs w:val="31"/>
      <w:lang w:val="en-GB" w:eastAsia="en-GB"/>
    </w:rPr>
  </w:style>
  <w:style w:type="character" w:styleId="UnresolvedMention">
    <w:name w:val="Unresolved Mention"/>
    <w:basedOn w:val="DefaultParagraphFont"/>
    <w:uiPriority w:val="99"/>
    <w:semiHidden/>
    <w:unhideWhenUsed/>
    <w:rsid w:val="00AC1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427443">
      <w:bodyDiv w:val="1"/>
      <w:marLeft w:val="0"/>
      <w:marRight w:val="0"/>
      <w:marTop w:val="0"/>
      <w:marBottom w:val="0"/>
      <w:divBdr>
        <w:top w:val="none" w:sz="0" w:space="0" w:color="auto"/>
        <w:left w:val="none" w:sz="0" w:space="0" w:color="auto"/>
        <w:bottom w:val="none" w:sz="0" w:space="0" w:color="auto"/>
        <w:right w:val="none" w:sz="0" w:space="0" w:color="auto"/>
      </w:divBdr>
    </w:div>
    <w:div w:id="87990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51BF2-9E71-41A7-BFD4-E987CB060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Robert ffitch</cp:lastModifiedBy>
  <cp:revision>2</cp:revision>
  <cp:lastPrinted>2021-03-16T21:37:00Z</cp:lastPrinted>
  <dcterms:created xsi:type="dcterms:W3CDTF">2022-03-30T11:03:00Z</dcterms:created>
  <dcterms:modified xsi:type="dcterms:W3CDTF">2022-03-30T11:03:00Z</dcterms:modified>
</cp:coreProperties>
</file>